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pPr>
        <w:widowControl w:val="0"/>
        <w:spacing w:line="300" w:lineRule="atLeast"/>
        <w:jc w:val="center"/>
        <w:rPr>
          <w:b/>
          <w:bCs/>
          <w:sz w:val="22"/>
          <w:szCs w:val="32"/>
          <w:rtl/>
          <w:lang w:eastAsia="en-US"/>
        </w:rPr>
      </w:pPr>
      <w:r>
        <w:rPr>
          <w:b/>
          <w:bCs/>
          <w:sz w:val="22"/>
          <w:szCs w:val="32"/>
          <w:rtl/>
          <w:lang w:eastAsia="en-US"/>
        </w:rPr>
        <w:t>מדינת ישראל</w:t>
      </w:r>
    </w:p>
    <w:p>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pPr>
        <w:widowControl w:val="0"/>
        <w:spacing w:line="300" w:lineRule="atLeast"/>
        <w:jc w:val="center"/>
        <w:rPr>
          <w:b/>
          <w:bCs/>
          <w:rtl/>
        </w:rPr>
      </w:pPr>
      <w:r>
        <w:rPr>
          <w:rFonts w:hint="cs"/>
          <w:b/>
          <w:bCs/>
          <w:rtl/>
        </w:rPr>
        <w:t>אגף רכש, מכרזים והתקשרויות</w:t>
      </w:r>
    </w:p>
    <w:p>
      <w:pPr>
        <w:widowControl w:val="0"/>
        <w:spacing w:line="300" w:lineRule="atLeast"/>
        <w:jc w:val="right"/>
        <w:rPr>
          <w:sz w:val="22"/>
          <w:rtl/>
          <w:lang w:eastAsia="en-US"/>
        </w:rPr>
      </w:pPr>
      <w:r>
        <w:rPr>
          <w:rFonts w:hint="eastAsia"/>
          <w:sz w:val="22"/>
          <w:rtl/>
          <w:lang w:eastAsia="en-US"/>
        </w:rPr>
        <w:t>‏‏כ</w:t>
      </w:r>
      <w:r>
        <w:rPr>
          <w:sz w:val="22"/>
          <w:rtl/>
          <w:lang w:eastAsia="en-US"/>
        </w:rPr>
        <w:t>"ג ניסן תשפ"ה</w:t>
      </w:r>
    </w:p>
    <w:p>
      <w:pPr>
        <w:widowControl w:val="0"/>
        <w:spacing w:line="300" w:lineRule="atLeast"/>
        <w:jc w:val="right"/>
        <w:rPr>
          <w:sz w:val="22"/>
          <w:rtl/>
          <w:lang w:eastAsia="en-US"/>
        </w:rPr>
      </w:pPr>
      <w:r>
        <w:rPr>
          <w:rFonts w:hint="eastAsia"/>
          <w:sz w:val="22"/>
          <w:rtl/>
          <w:lang w:eastAsia="en-US"/>
        </w:rPr>
        <w:t>‏</w:t>
      </w:r>
      <w:r>
        <w:rPr>
          <w:sz w:val="22"/>
          <w:rtl/>
          <w:lang w:eastAsia="en-US"/>
        </w:rPr>
        <w:t>21 אפריל 2025</w:t>
      </w:r>
    </w:p>
    <w:p>
      <w:pPr>
        <w:widowControl w:val="0"/>
        <w:spacing w:line="300" w:lineRule="atLeast"/>
        <w:jc w:val="right"/>
        <w:rPr>
          <w:sz w:val="22"/>
          <w:rtl/>
          <w:lang w:eastAsia="en-US"/>
        </w:rPr>
      </w:pPr>
    </w:p>
    <w:p>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8/4.2025</w:t>
      </w:r>
      <w:r>
        <w:rPr>
          <w:rFonts w:hint="cs"/>
          <w:b/>
          <w:bCs/>
          <w:sz w:val="32"/>
          <w:szCs w:val="32"/>
          <w:rtl/>
          <w:lang w:eastAsia="en-US"/>
        </w:rPr>
        <w:t xml:space="preserve"> </w:t>
      </w:r>
      <w:r>
        <w:rPr>
          <w:b/>
          <w:bCs/>
          <w:sz w:val="32"/>
          <w:szCs w:val="32"/>
          <w:rtl/>
          <w:lang w:eastAsia="en-US"/>
        </w:rPr>
        <w:t xml:space="preserve">: </w:t>
      </w:r>
      <w:bookmarkStart w:id="0" w:name="_Hlk165449906"/>
      <w:r>
        <w:rPr>
          <w:rFonts w:hint="cs"/>
          <w:b/>
          <w:bCs/>
          <w:sz w:val="32"/>
          <w:szCs w:val="32"/>
          <w:u w:val="single"/>
          <w:rtl/>
          <w:lang w:eastAsia="en-US"/>
        </w:rPr>
        <w:t>הפעלת תוכנית העשרה במוסדות אקדמיים, בתחומי דעת שונים לתלמידים מחוננים ומצטיינים</w:t>
      </w:r>
      <w:bookmarkEnd w:id="0"/>
    </w:p>
    <w:p>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trPr>
          <w:trHeight w:val="289"/>
          <w:jc w:val="center"/>
        </w:trPr>
        <w:tc>
          <w:tcPr>
            <w:tcW w:w="9639" w:type="dxa"/>
            <w:gridSpan w:val="2"/>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הספק בביצוע העבודה</w:t>
            </w:r>
            <w:r>
              <w:rPr>
                <w:sz w:val="23"/>
                <w:szCs w:val="23"/>
                <w:rtl/>
                <w:lang w:eastAsia="en-US"/>
              </w:rPr>
              <w:tab/>
            </w:r>
            <w:r>
              <w:rPr>
                <w:rFonts w:hint="cs"/>
                <w:sz w:val="23"/>
                <w:szCs w:val="23"/>
                <w:rtl/>
                <w:lang w:eastAsia="en-US"/>
              </w:rPr>
              <w:t>16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הספק והאמצעים הנדרשים לביצוע המכרז</w:t>
            </w:r>
            <w:r>
              <w:rPr>
                <w:sz w:val="23"/>
                <w:szCs w:val="23"/>
                <w:rtl/>
                <w:lang w:eastAsia="en-US"/>
              </w:rPr>
              <w:tab/>
            </w:r>
            <w:r>
              <w:rPr>
                <w:rFonts w:hint="cs"/>
                <w:sz w:val="23"/>
                <w:szCs w:val="23"/>
                <w:rtl/>
                <w:lang w:eastAsia="en-US"/>
              </w:rPr>
              <w:t>17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24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26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26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28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הספק</w:t>
            </w:r>
            <w:r>
              <w:rPr>
                <w:sz w:val="23"/>
                <w:szCs w:val="23"/>
                <w:rtl/>
                <w:lang w:eastAsia="en-US"/>
              </w:rPr>
              <w:tab/>
            </w:r>
            <w:r>
              <w:rPr>
                <w:rFonts w:hint="cs"/>
                <w:sz w:val="23"/>
                <w:szCs w:val="23"/>
                <w:rtl/>
                <w:lang w:eastAsia="en-US"/>
              </w:rPr>
              <w:t>34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43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48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חוזה התקשרות</w:t>
            </w:r>
            <w:r>
              <w:rPr>
                <w:sz w:val="23"/>
                <w:szCs w:val="23"/>
                <w:rtl/>
                <w:lang w:eastAsia="en-US"/>
              </w:rPr>
              <w:tab/>
            </w:r>
            <w:r>
              <w:rPr>
                <w:rFonts w:hint="cs"/>
                <w:sz w:val="23"/>
                <w:szCs w:val="23"/>
                <w:rtl/>
                <w:lang w:eastAsia="en-US"/>
              </w:rPr>
              <w:t>53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תקנות למניעת העסקה של עברייני מין</w:t>
            </w:r>
            <w:r>
              <w:rPr>
                <w:sz w:val="23"/>
                <w:szCs w:val="23"/>
                <w:rtl/>
                <w:lang w:eastAsia="en-US"/>
              </w:rPr>
              <w:tab/>
            </w:r>
            <w:r>
              <w:rPr>
                <w:rFonts w:hint="cs"/>
                <w:sz w:val="23"/>
                <w:szCs w:val="23"/>
                <w:rtl/>
                <w:lang w:eastAsia="en-US"/>
              </w:rPr>
              <w:t>67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w:t>
            </w:r>
            <w:r>
              <w:rPr>
                <w:sz w:val="23"/>
                <w:szCs w:val="23"/>
                <w:rtl/>
                <w:lang w:eastAsia="en-US"/>
              </w:rPr>
              <w:tab/>
            </w:r>
            <w:r>
              <w:rPr>
                <w:rFonts w:hint="cs"/>
                <w:sz w:val="23"/>
                <w:szCs w:val="23"/>
                <w:rtl/>
                <w:lang w:eastAsia="en-US"/>
              </w:rPr>
              <w:t>74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clear" w:pos="360"/>
                <w:tab w:val="left" w:pos="317"/>
                <w:tab w:val="right" w:leader="dot" w:pos="8538"/>
              </w:tabs>
              <w:spacing w:line="240" w:lineRule="auto"/>
              <w:ind w:left="317" w:right="0" w:hanging="317"/>
              <w:jc w:val="left"/>
              <w:rPr>
                <w:sz w:val="23"/>
                <w:szCs w:val="23"/>
                <w:lang w:eastAsia="en-US"/>
              </w:rPr>
            </w:pPr>
            <w:bookmarkStart w:id="1" w:name="_Hlk173060930"/>
            <w:r>
              <w:rPr>
                <w:rFonts w:hint="cs"/>
                <w:sz w:val="23"/>
                <w:szCs w:val="23"/>
                <w:rtl/>
                <w:lang w:eastAsia="en-US"/>
              </w:rPr>
              <w:t>טופס הגשת הצעה.................................................................................................... בקובץ נפרד</w:t>
            </w:r>
          </w:p>
          <w:p>
            <w:pPr>
              <w:widowControl w:val="0"/>
              <w:tabs>
                <w:tab w:val="left" w:pos="317"/>
                <w:tab w:val="right" w:leader="dot" w:pos="8538"/>
              </w:tabs>
              <w:spacing w:line="240" w:lineRule="auto"/>
              <w:ind w:left="317" w:right="284"/>
              <w:jc w:val="left"/>
              <w:rPr>
                <w:sz w:val="23"/>
                <w:szCs w:val="23"/>
                <w:rtl/>
                <w:lang w:eastAsia="en-US"/>
              </w:rPr>
            </w:pPr>
            <w:r>
              <w:rPr>
                <w:rFonts w:hint="cs"/>
                <w:sz w:val="23"/>
                <w:szCs w:val="23"/>
                <w:rtl/>
                <w:lang w:eastAsia="en-US"/>
              </w:rPr>
              <w:t>(1) טופס הגשת הצעה</w:t>
            </w:r>
            <w:r>
              <w:rPr>
                <w:rFonts w:hint="cs"/>
                <w:rtl/>
                <w:lang w:eastAsia="en-US"/>
              </w:rPr>
              <w:t xml:space="preserve"> - אזור </w:t>
            </w:r>
            <w:r>
              <w:rPr>
                <w:rFonts w:hint="cs"/>
                <w:b/>
                <w:bCs/>
                <w:rtl/>
                <w:lang w:eastAsia="en-US"/>
              </w:rPr>
              <w:t>1</w:t>
            </w:r>
            <w:r>
              <w:rPr>
                <w:rFonts w:hint="cs"/>
                <w:rtl/>
                <w:lang w:eastAsia="en-US"/>
              </w:rPr>
              <w:t xml:space="preserve"> כולל: מחוז חיפה ומחוז הצפון</w:t>
            </w:r>
            <w:r>
              <w:rPr>
                <w:sz w:val="23"/>
                <w:szCs w:val="23"/>
                <w:rtl/>
                <w:lang w:eastAsia="en-US"/>
              </w:rPr>
              <w:tab/>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tabs>
                <w:tab w:val="left" w:pos="317"/>
                <w:tab w:val="right" w:leader="dot" w:pos="8538"/>
              </w:tabs>
              <w:spacing w:line="240" w:lineRule="auto"/>
              <w:ind w:left="317"/>
              <w:jc w:val="left"/>
              <w:rPr>
                <w:sz w:val="23"/>
                <w:szCs w:val="23"/>
                <w:rtl/>
                <w:lang w:eastAsia="en-US"/>
              </w:rPr>
            </w:pPr>
            <w:r>
              <w:rPr>
                <w:rFonts w:hint="cs"/>
                <w:sz w:val="23"/>
                <w:szCs w:val="23"/>
                <w:rtl/>
                <w:lang w:eastAsia="en-US"/>
              </w:rPr>
              <w:t>(2) טופס הגשת הצעה</w:t>
            </w:r>
            <w:r>
              <w:rPr>
                <w:rFonts w:hint="cs"/>
                <w:rtl/>
                <w:lang w:eastAsia="en-US"/>
              </w:rPr>
              <w:t xml:space="preserve"> - אזור </w:t>
            </w:r>
            <w:r>
              <w:rPr>
                <w:rFonts w:hint="cs"/>
                <w:b/>
                <w:bCs/>
                <w:rtl/>
                <w:lang w:eastAsia="en-US"/>
              </w:rPr>
              <w:t>2</w:t>
            </w:r>
            <w:r>
              <w:rPr>
                <w:rFonts w:hint="cs"/>
                <w:rtl/>
                <w:lang w:eastAsia="en-US"/>
              </w:rPr>
              <w:t xml:space="preserve"> כולל: מחוז ת"א, מחוז מרכז ומחוז ירושלים (כולל מנח"י).</w:t>
            </w:r>
            <w:r>
              <w:rPr>
                <w:sz w:val="23"/>
                <w:szCs w:val="23"/>
                <w:rtl/>
                <w:lang w:eastAsia="en-US"/>
              </w:rPr>
              <w:tab/>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tabs>
                <w:tab w:val="left" w:pos="317"/>
                <w:tab w:val="right" w:leader="dot" w:pos="8538"/>
              </w:tabs>
              <w:spacing w:line="240" w:lineRule="auto"/>
              <w:ind w:left="317"/>
              <w:jc w:val="left"/>
              <w:rPr>
                <w:sz w:val="23"/>
                <w:szCs w:val="23"/>
                <w:rtl/>
                <w:lang w:eastAsia="en-US"/>
              </w:rPr>
            </w:pPr>
            <w:r>
              <w:rPr>
                <w:rFonts w:hint="cs"/>
                <w:sz w:val="23"/>
                <w:szCs w:val="23"/>
                <w:rtl/>
                <w:lang w:eastAsia="en-US"/>
              </w:rPr>
              <w:t>(3) טופס הגשת הצעה</w:t>
            </w:r>
            <w:r>
              <w:rPr>
                <w:rFonts w:hint="cs"/>
                <w:rtl/>
                <w:lang w:eastAsia="en-US"/>
              </w:rPr>
              <w:t xml:space="preserve"> - אזור </w:t>
            </w:r>
            <w:r>
              <w:rPr>
                <w:rFonts w:hint="cs"/>
                <w:b/>
                <w:bCs/>
                <w:rtl/>
                <w:lang w:eastAsia="en-US"/>
              </w:rPr>
              <w:t>3</w:t>
            </w:r>
            <w:r>
              <w:rPr>
                <w:rFonts w:hint="cs"/>
                <w:rtl/>
                <w:lang w:eastAsia="en-US"/>
              </w:rPr>
              <w:t xml:space="preserve"> כולל: מחוז  הדרום</w:t>
            </w:r>
            <w:r>
              <w:rPr>
                <w:sz w:val="23"/>
                <w:szCs w:val="23"/>
                <w:rtl/>
                <w:lang w:eastAsia="en-US"/>
              </w:rPr>
              <w:tab/>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bl>
    <w:bookmarkEnd w:id="1"/>
    <w:p>
      <w:pPr>
        <w:widowControl w:val="0"/>
        <w:numPr>
          <w:ilvl w:val="0"/>
          <w:numId w:val="2"/>
        </w:numPr>
        <w:tabs>
          <w:tab w:val="clear" w:pos="360"/>
          <w:tab w:val="left" w:pos="317"/>
          <w:tab w:val="right" w:leader="dot" w:pos="8538"/>
        </w:tabs>
        <w:spacing w:line="240" w:lineRule="auto"/>
        <w:ind w:left="317" w:right="0" w:hanging="317"/>
        <w:jc w:val="left"/>
        <w:rPr>
          <w:sz w:val="23"/>
          <w:szCs w:val="23"/>
          <w:rtl/>
          <w:lang w:eastAsia="en-US"/>
        </w:rPr>
      </w:pPr>
      <w:r>
        <w:rPr>
          <w:rFonts w:hint="cs"/>
          <w:sz w:val="23"/>
          <w:szCs w:val="23"/>
          <w:rtl/>
          <w:lang w:eastAsia="en-US"/>
        </w:rPr>
        <w:t>טבלת השוואת ההצעות...............................................................................................בקובץ נפרד</w:t>
      </w:r>
    </w:p>
    <w:p>
      <w:pPr>
        <w:widowControl w:val="0"/>
        <w:spacing w:line="300" w:lineRule="atLeast"/>
        <w:rPr>
          <w:b/>
          <w:bCs/>
          <w:sz w:val="28"/>
          <w:szCs w:val="28"/>
          <w:u w:val="single"/>
        </w:rPr>
      </w:pPr>
      <w:r>
        <w:rPr>
          <w:noProof/>
        </w:rPr>
        <mc:AlternateContent>
          <mc:Choice Requires="wps">
            <w:drawing>
              <wp:anchor distT="0" distB="0" distL="114300" distR="114300" simplePos="0" relativeHeight="251626496" behindDoc="0" locked="0" layoutInCell="1" allowOverlap="1">
                <wp:simplePos x="0" y="0"/>
                <wp:positionH relativeFrom="column">
                  <wp:posOffset>326390</wp:posOffset>
                </wp:positionH>
                <wp:positionV relativeFrom="paragraph">
                  <wp:posOffset>198120</wp:posOffset>
                </wp:positionV>
                <wp:extent cx="5472430" cy="1086485"/>
                <wp:effectExtent l="0" t="0" r="0" b="0"/>
                <wp:wrapNone/>
                <wp:docPr id="77"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2430" cy="10864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240" w:lineRule="auto"/>
                              <w:jc w:val="left"/>
                              <w:rPr>
                                <w:b/>
                                <w:bCs/>
                                <w:rtl/>
                              </w:rPr>
                            </w:pPr>
                            <w:hyperlink r:id="rId8" w:history="1">
                              <w:r>
                                <w:rPr>
                                  <w:rStyle w:val="Hyperlink"/>
                                  <w:b/>
                                  <w:bCs/>
                                  <w:sz w:val="21"/>
                                  <w:szCs w:val="21"/>
                                </w:rPr>
                                <w:t>HTTP://WWW.MR.GOV.IL</w:t>
                              </w:r>
                            </w:hyperlink>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ascii="Arial" w:hAnsi="Arial"/>
                                <w:b/>
                                <w:bCs/>
                                <w:sz w:val="22"/>
                                <w:rtl/>
                                <w:lang w:eastAsia="en-US"/>
                              </w:rPr>
                              <w:t>בכבוד רב</w:t>
                            </w:r>
                            <w:r>
                              <w:rPr>
                                <w:rFonts w:ascii="Arial" w:hAnsi="Arial" w:hint="cs"/>
                                <w:b/>
                                <w:bCs/>
                                <w:sz w:val="22"/>
                                <w:rtl/>
                                <w:lang w:eastAsia="en-US"/>
                              </w:rPr>
                              <w:t>,</w:t>
                            </w:r>
                          </w:p>
                          <w:p>
                            <w:pPr>
                              <w:spacing w:line="240" w:lineRule="auto"/>
                              <w:ind w:left="6237" w:firstLine="567"/>
                              <w:jc w:val="left"/>
                              <w:rPr>
                                <w:b/>
                                <w:bCs/>
                                <w:rtl/>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25.7pt;margin-top:15.6pt;width:430.9pt;height:85.5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" filled="f">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240" w:lineRule="auto"/>
                        <w:jc w:val="left"/>
                        <w:rPr>
                          <w:b/>
                          <w:bCs/>
                          <w:rtl/>
                        </w:rPr>
                      </w:pPr>
                      <w:hyperlink r:id="rId9" w:history="1">
                        <w:r>
                          <w:rPr>
                            <w:rStyle w:val="Hyperlink"/>
                            <w:b/>
                            <w:bCs/>
                            <w:sz w:val="21"/>
                            <w:szCs w:val="21"/>
                          </w:rPr>
                          <w:t>HTTP://WWW.MR.GOV.IL</w:t>
                        </w:r>
                      </w:hyperlink>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ascii="Arial" w:hAnsi="Arial"/>
                          <w:b/>
                          <w:bCs/>
                          <w:sz w:val="22"/>
                          <w:rtl/>
                          <w:lang w:eastAsia="en-US"/>
                        </w:rPr>
                        <w:t>בכבוד רב</w:t>
                      </w:r>
                      <w:r>
                        <w:rPr>
                          <w:rFonts w:ascii="Arial" w:hAnsi="Arial" w:hint="cs"/>
                          <w:b/>
                          <w:bCs/>
                          <w:sz w:val="22"/>
                          <w:rtl/>
                          <w:lang w:eastAsia="en-US"/>
                        </w:rPr>
                        <w:t>,</w:t>
                      </w:r>
                    </w:p>
                    <w:p>
                      <w:pPr>
                        <w:spacing w:line="240" w:lineRule="auto"/>
                        <w:ind w:left="6237" w:firstLine="567"/>
                        <w:jc w:val="left"/>
                        <w:rPr>
                          <w:b/>
                          <w:bCs/>
                          <w:rtl/>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v:textbox>
              </v:shape>
            </w:pict>
          </mc:Fallback>
        </mc:AlternateContent>
      </w:r>
    </w:p>
    <w:p>
      <w:pPr>
        <w:widowControl w:val="0"/>
        <w:spacing w:after="160" w:line="280" w:lineRule="atLeast"/>
        <w:ind w:left="709"/>
        <w:rPr>
          <w:b/>
          <w:bCs/>
          <w:sz w:val="28"/>
          <w:szCs w:val="28"/>
          <w:u w:val="single"/>
          <w:rtl/>
        </w:rPr>
      </w:pPr>
      <w:r>
        <w:rPr>
          <w:b/>
          <w:bCs/>
          <w:sz w:val="28"/>
          <w:szCs w:val="28"/>
          <w:u w:val="single"/>
          <w:rtl/>
        </w:rPr>
        <w:br w:type="page"/>
      </w:r>
      <w:r>
        <w:rPr>
          <w:b/>
          <w:bCs/>
          <w:sz w:val="28"/>
          <w:szCs w:val="28"/>
          <w:u w:val="single"/>
          <w:rtl/>
        </w:rPr>
        <w:lastRenderedPageBreak/>
        <w:t>מבוא</w:t>
      </w:r>
    </w:p>
    <w:p>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cs"/>
          <w:sz w:val="22"/>
          <w:rtl/>
          <w:lang w:eastAsia="en-US"/>
        </w:rPr>
        <w:t xml:space="preserve">האגף למחוננים ומצטיינים </w:t>
      </w:r>
      <w:r>
        <w:rPr>
          <w:sz w:val="22"/>
          <w:rtl/>
          <w:lang w:eastAsia="en-US"/>
        </w:rPr>
        <w:t>(שייקרא להלן "</w:t>
      </w:r>
      <w:r>
        <w:rPr>
          <w:rFonts w:hint="cs"/>
          <w:sz w:val="22"/>
          <w:rtl/>
          <w:lang w:eastAsia="en-US"/>
        </w:rPr>
        <w:t xml:space="preserve"> האגף</w:t>
      </w:r>
      <w:r>
        <w:rPr>
          <w:sz w:val="22"/>
          <w:rtl/>
          <w:lang w:eastAsia="en-US"/>
        </w:rPr>
        <w:t>"), פונה בזאת לקבלת הצעות ל:</w:t>
      </w:r>
    </w:p>
    <w:p>
      <w:pPr>
        <w:widowControl w:val="0"/>
        <w:spacing w:line="280" w:lineRule="atLeast"/>
        <w:ind w:left="720"/>
        <w:rPr>
          <w:b/>
          <w:bCs/>
          <w:sz w:val="30"/>
          <w:szCs w:val="30"/>
          <w:u w:val="single"/>
          <w:rtl/>
          <w:lang w:eastAsia="en-US"/>
        </w:rPr>
      </w:pPr>
      <w:r>
        <w:rPr>
          <w:rFonts w:hint="cs"/>
          <w:b/>
          <w:bCs/>
          <w:sz w:val="30"/>
          <w:szCs w:val="30"/>
          <w:u w:val="single"/>
          <w:rtl/>
          <w:lang w:eastAsia="en-US"/>
        </w:rPr>
        <w:t>הפעלת תוכנית העשרה במוסדות אקדמיים, בתחומי דעת שונים לתלמידים מחוננים ומצטיינים</w:t>
      </w:r>
    </w:p>
    <w:p>
      <w:pPr>
        <w:widowControl w:val="0"/>
        <w:spacing w:line="280" w:lineRule="atLeast"/>
        <w:ind w:left="720"/>
        <w:rPr>
          <w:sz w:val="22"/>
          <w:rtl/>
          <w:lang w:eastAsia="en-US"/>
        </w:rPr>
      </w:pPr>
    </w:p>
    <w:p>
      <w:pPr>
        <w:widowControl w:val="0"/>
        <w:spacing w:line="280" w:lineRule="atLeast"/>
        <w:ind w:left="720"/>
        <w:rPr>
          <w:sz w:val="22"/>
          <w:rtl/>
          <w:lang w:eastAsia="en-US"/>
        </w:rPr>
      </w:pPr>
      <w:r>
        <w:rPr>
          <w:sz w:val="22"/>
          <w:rtl/>
          <w:lang w:eastAsia="en-US"/>
        </w:rPr>
        <w:t>וזאת בהיקף ובגבולות אחריות כפי שיפורטו בהמשך.</w:t>
      </w:r>
    </w:p>
    <w:p>
      <w:pPr>
        <w:widowControl w:val="0"/>
        <w:spacing w:line="280" w:lineRule="atLeast"/>
        <w:ind w:left="720"/>
        <w:rPr>
          <w:sz w:val="22"/>
          <w:rtl/>
          <w:lang w:eastAsia="en-US"/>
        </w:rPr>
      </w:pPr>
    </w:p>
    <w:p>
      <w:pPr>
        <w:widowControl w:val="0"/>
        <w:numPr>
          <w:ilvl w:val="1"/>
          <w:numId w:val="9"/>
        </w:numPr>
        <w:spacing w:after="160" w:line="280" w:lineRule="atLeast"/>
        <w:rPr>
          <w:rtl/>
        </w:rPr>
      </w:pPr>
      <w:r>
        <w:rPr>
          <w:rFonts w:hint="cs"/>
          <w:b/>
          <w:bCs/>
          <w:u w:val="single"/>
          <w:rtl/>
        </w:rPr>
        <w:t>שאלות ובירורים</w:t>
      </w:r>
    </w:p>
    <w:p>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pPr>
        <w:widowControl w:val="0"/>
        <w:spacing w:after="140" w:line="280" w:lineRule="atLeast"/>
        <w:ind w:left="1417"/>
        <w:rPr>
          <w:b/>
          <w:bCs/>
          <w:spacing w:val="-4"/>
          <w:highlight w:val="lightGray"/>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 </w:t>
      </w:r>
      <w:r>
        <w:rPr>
          <w:b/>
          <w:bCs/>
          <w:spacing w:val="-4"/>
          <w:u w:val="single"/>
          <w:lang w:eastAsia="en-US"/>
        </w:rPr>
        <w:t>5.5.2025</w:t>
      </w:r>
      <w:r>
        <w:rPr>
          <w:rFonts w:hint="cs"/>
          <w:spacing w:val="-4"/>
          <w:rtl/>
          <w:lang w:eastAsia="en-US"/>
        </w:rPr>
        <w:t xml:space="preserve"> בשעה </w:t>
      </w:r>
      <w:r>
        <w:rPr>
          <w:rFonts w:hint="cs"/>
          <w:b/>
          <w:bCs/>
          <w:spacing w:val="-4"/>
          <w:u w:val="single"/>
          <w:rtl/>
          <w:lang w:eastAsia="en-US"/>
        </w:rPr>
        <w:t>14:00</w:t>
      </w:r>
      <w:r>
        <w:rPr>
          <w:rFonts w:hint="cs"/>
          <w:spacing w:val="-4"/>
          <w:rtl/>
          <w:lang w:eastAsia="en-US"/>
        </w:rPr>
        <w:t xml:space="preserve"> לכתובת המייל </w:t>
      </w:r>
      <w:r>
        <w:rPr>
          <w:b/>
          <w:bCs/>
          <w:spacing w:val="-4"/>
          <w:lang w:eastAsia="en-US"/>
        </w:rPr>
        <w:t>michrazimedu@education.gov.il</w:t>
      </w:r>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highlight w:val="lightGray"/>
          <w:rtl/>
          <w:lang w:eastAsia="en-US"/>
        </w:rPr>
        <w:t xml:space="preserve">מכרז מס' </w:t>
      </w:r>
      <w:r>
        <w:rPr>
          <w:b/>
          <w:bCs/>
          <w:spacing w:val="-4"/>
          <w:lang w:eastAsia="en-US"/>
        </w:rPr>
        <w:t>8/4.2025</w:t>
      </w:r>
      <w:r>
        <w:rPr>
          <w:b/>
          <w:bCs/>
          <w:spacing w:val="-4"/>
          <w:rtl/>
          <w:lang w:eastAsia="en-US"/>
        </w:rPr>
        <w:t xml:space="preserve"> </w:t>
      </w:r>
      <w:r>
        <w:rPr>
          <w:rFonts w:hint="cs"/>
          <w:b/>
          <w:bCs/>
          <w:spacing w:val="-4"/>
          <w:rtl/>
          <w:lang w:eastAsia="en-US"/>
        </w:rPr>
        <w:t>:</w:t>
      </w:r>
      <w:r>
        <w:rPr>
          <w:b/>
          <w:bCs/>
          <w:spacing w:val="-4"/>
          <w:rtl/>
          <w:lang w:eastAsia="en-US"/>
        </w:rPr>
        <w:t xml:space="preserve"> </w:t>
      </w:r>
      <w:r>
        <w:rPr>
          <w:rFonts w:hint="cs"/>
          <w:b/>
          <w:bCs/>
          <w:spacing w:val="-4"/>
          <w:highlight w:val="lightGray"/>
          <w:u w:val="single"/>
          <w:rtl/>
          <w:lang w:eastAsia="en-US"/>
        </w:rPr>
        <w:t>הפעלת תוכנית העשרה במוסדות אקדמיים, בתחומי דעת שונים לתלמידים מחוננים ומצטיינים</w:t>
      </w: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trPr>
          <w:trHeight w:val="450"/>
        </w:trPr>
        <w:tc>
          <w:tcPr>
            <w:tcW w:w="8222" w:type="dxa"/>
            <w:gridSpan w:val="4"/>
            <w:shd w:val="clear" w:color="000000" w:fill="D9D9D9"/>
            <w:vAlign w:val="center"/>
          </w:tcPr>
          <w:p>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lang w:eastAsia="en-US"/>
              </w:rPr>
              <w:t>8/4.2025</w:t>
            </w:r>
            <w:r>
              <w:rPr>
                <w:rFonts w:ascii="David" w:hAnsi="David"/>
                <w:b/>
                <w:bCs/>
                <w:color w:val="002060"/>
                <w:sz w:val="22"/>
                <w:szCs w:val="22"/>
                <w:rtl/>
                <w:lang w:eastAsia="en-US"/>
              </w:rPr>
              <w:t xml:space="preserve"> : </w:t>
            </w:r>
            <w:r>
              <w:rPr>
                <w:rFonts w:ascii="David" w:hAnsi="David" w:hint="cs"/>
                <w:b/>
                <w:bCs/>
                <w:color w:val="002060"/>
                <w:sz w:val="22"/>
                <w:szCs w:val="22"/>
                <w:u w:val="single"/>
                <w:rtl/>
                <w:lang w:eastAsia="en-US"/>
              </w:rPr>
              <w:t>הפעלת תוכנית העשרה במוסדות אקדמיים, בתחומי דעת שונים לתלמידים מחוננים ומצטיינים</w:t>
            </w:r>
          </w:p>
        </w:tc>
      </w:tr>
      <w:tr>
        <w:trPr>
          <w:trHeight w:val="450"/>
        </w:trPr>
        <w:tc>
          <w:tcPr>
            <w:tcW w:w="947"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10" w:history="1">
        <w:r>
          <w:rPr>
            <w:rStyle w:val="Hyperlink"/>
            <w:sz w:val="21"/>
            <w:szCs w:val="21"/>
          </w:rPr>
          <w:t>HTTP://WWW.MR.GOV.IL</w:t>
        </w:r>
      </w:hyperlink>
    </w:p>
    <w:p>
      <w:pPr>
        <w:widowControl w:val="0"/>
        <w:spacing w:before="100" w:line="280" w:lineRule="atLeast"/>
        <w:ind w:left="1417"/>
        <w:rPr>
          <w:rtl/>
          <w:lang w:eastAsia="en-US"/>
        </w:rPr>
      </w:pPr>
      <w:r>
        <w:rPr>
          <w:rFonts w:hint="cs"/>
          <w:rtl/>
          <w:lang w:eastAsia="en-US"/>
        </w:rPr>
        <w:t>באחריות המציעים לעקוב באופן שוטף  אחר פרסום הודעות והבהרות באתר כאמור.</w:t>
      </w:r>
    </w:p>
    <w:p>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בהתאם למבנה ולאופן המפורטים לעיל.</w:t>
      </w:r>
      <w:r>
        <w:rPr>
          <w:rFonts w:hint="cs"/>
          <w:spacing w:val="-4"/>
          <w:rtl/>
          <w:lang w:eastAsia="en-US"/>
        </w:rPr>
        <w:t xml:space="preserve"> </w:t>
      </w:r>
    </w:p>
    <w:p>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pPr>
        <w:widowControl w:val="0"/>
        <w:spacing w:line="280" w:lineRule="atLeast"/>
        <w:ind w:left="1418"/>
        <w:rPr>
          <w:b/>
          <w:bCs/>
          <w:sz w:val="22"/>
          <w:u w:val="single"/>
          <w:lang w:eastAsia="en-US"/>
        </w:rPr>
      </w:pPr>
    </w:p>
    <w:p>
      <w:pPr>
        <w:widowControl w:val="0"/>
        <w:spacing w:line="300" w:lineRule="atLeast"/>
        <w:rPr>
          <w:b/>
          <w:bCs/>
          <w:sz w:val="22"/>
          <w:u w:val="single"/>
          <w:rtl/>
          <w:lang w:eastAsia="en-US"/>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spacing w:line="300" w:lineRule="atLeast"/>
        <w:rPr>
          <w:rtl/>
        </w:rPr>
      </w:pPr>
    </w:p>
    <w:p>
      <w:pPr>
        <w:widowControl w:val="0"/>
        <w:overflowPunct/>
        <w:autoSpaceDE/>
        <w:autoSpaceDN/>
        <w:adjustRightInd/>
        <w:spacing w:line="300" w:lineRule="atLeast"/>
        <w:ind w:left="1419"/>
        <w:textAlignment w:val="auto"/>
      </w:pPr>
    </w:p>
    <w:p>
      <w:pPr>
        <w:widowControl w:val="0"/>
        <w:numPr>
          <w:ilvl w:val="1"/>
          <w:numId w:val="9"/>
        </w:numPr>
        <w:spacing w:after="140" w:line="280" w:lineRule="atLeast"/>
        <w:rPr>
          <w:b/>
          <w:bCs/>
          <w:u w:val="single"/>
        </w:rPr>
      </w:pPr>
      <w:r>
        <w:rPr>
          <w:rFonts w:hint="cs"/>
          <w:b/>
          <w:bCs/>
          <w:u w:val="single"/>
          <w:rtl/>
        </w:rPr>
        <w:lastRenderedPageBreak/>
        <w:t>התקשרות עם מציע שזכה בדירוג נמוך יותר</w:t>
      </w:r>
    </w:p>
    <w:p>
      <w:pPr>
        <w:widowControl w:val="0"/>
        <w:spacing w:line="280" w:lineRule="atLeast"/>
        <w:ind w:left="1418"/>
        <w:rPr>
          <w:b/>
          <w:bCs/>
          <w:sz w:val="22"/>
          <w:rtl/>
        </w:rPr>
      </w:pPr>
      <w:r>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pPr>
        <w:widowControl w:val="0"/>
        <w:spacing w:line="280" w:lineRule="atLeast"/>
        <w:ind w:left="1418"/>
        <w:rPr>
          <w:b/>
          <w:bCs/>
          <w:sz w:val="22"/>
          <w:rtl/>
        </w:rPr>
      </w:pPr>
    </w:p>
    <w:p>
      <w:pPr>
        <w:widowControl w:val="0"/>
        <w:spacing w:line="280" w:lineRule="atLeast"/>
        <w:ind w:left="709"/>
        <w:rPr>
          <w:b/>
          <w:bCs/>
          <w:sz w:val="22"/>
          <w:rtl/>
        </w:rPr>
      </w:pPr>
    </w:p>
    <w:p>
      <w:pPr>
        <w:widowControl w:val="0"/>
        <w:numPr>
          <w:ilvl w:val="1"/>
          <w:numId w:val="9"/>
        </w:numPr>
        <w:spacing w:line="280" w:lineRule="atLeast"/>
        <w:rPr>
          <w:b/>
          <w:bCs/>
          <w:rtl/>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280" w:lineRule="atLeast"/>
        <w:ind w:left="709"/>
        <w:rPr>
          <w:b/>
          <w:bCs/>
          <w:sz w:val="22"/>
          <w:rtl/>
          <w:lang w:eastAsia="en-US"/>
        </w:rPr>
      </w:pPr>
      <w:r>
        <w:rPr>
          <w:rFonts w:hint="cs"/>
          <w:noProof/>
          <w:rtl/>
        </w:rPr>
        <mc:AlternateContent>
          <mc:Choice Requires="wps">
            <w:drawing>
              <wp:anchor distT="0" distB="0" distL="114300" distR="114300" simplePos="0" relativeHeight="251680768" behindDoc="1" locked="0" layoutInCell="1" allowOverlap="1">
                <wp:simplePos x="0" y="0"/>
                <wp:positionH relativeFrom="column">
                  <wp:posOffset>-149860</wp:posOffset>
                </wp:positionH>
                <wp:positionV relativeFrom="paragraph">
                  <wp:posOffset>-796925</wp:posOffset>
                </wp:positionV>
                <wp:extent cx="5955030" cy="923925"/>
                <wp:effectExtent l="0" t="0" r="0" b="0"/>
                <wp:wrapNone/>
                <wp:docPr id="76"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0" o:spid="_x0000_s1026" style="position:absolute;left:0;text-align:left;margin-left:-11.8pt;margin-top:-62.75pt;width:468.9pt;height:72.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">
                <v:shadow on="t" opacity=".5" offset="3pt,-3pt"/>
              </v:rect>
            </w:pict>
          </mc:Fallback>
        </mc:AlternateContent>
      </w:r>
    </w:p>
    <w:p>
      <w:pPr>
        <w:widowControl w:val="0"/>
        <w:numPr>
          <w:ilvl w:val="1"/>
          <w:numId w:val="9"/>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pPr>
        <w:pStyle w:val="aff2"/>
        <w:rPr>
          <w:b/>
          <w:bCs/>
          <w:sz w:val="22"/>
          <w:rtl/>
          <w:lang w:eastAsia="en-US"/>
        </w:rPr>
      </w:pPr>
    </w:p>
    <w:p>
      <w:pPr>
        <w:numPr>
          <w:ilvl w:val="1"/>
          <w:numId w:val="9"/>
        </w:numPr>
        <w:spacing w:line="300" w:lineRule="atLeast"/>
        <w:rPr>
          <w:b/>
          <w:bCs/>
          <w:lang w:eastAsia="en-US"/>
        </w:rPr>
      </w:pPr>
      <w:r>
        <w:rPr>
          <w:rFonts w:hint="cs"/>
          <w:b/>
          <w:bCs/>
          <w:u w:val="single"/>
          <w:rtl/>
          <w:lang w:eastAsia="en-US"/>
        </w:rPr>
        <w:t>מבנה ההצעה</w:t>
      </w:r>
    </w:p>
    <w:p>
      <w:pPr>
        <w:spacing w:line="300" w:lineRule="atLeast"/>
        <w:ind w:left="1418"/>
        <w:rPr>
          <w:lang w:eastAsia="en-US"/>
        </w:rPr>
      </w:pPr>
    </w:p>
    <w:p>
      <w:pPr>
        <w:numPr>
          <w:ilvl w:val="2"/>
          <w:numId w:val="9"/>
        </w:numPr>
        <w:spacing w:line="300" w:lineRule="atLeast"/>
        <w:rPr>
          <w:lang w:eastAsia="en-US"/>
        </w:rPr>
      </w:pPr>
      <w:bookmarkStart w:id="2" w:name="_Hlk165449427"/>
      <w:bookmarkStart w:id="3" w:name="_Hlk165451567"/>
      <w:r>
        <w:rPr>
          <w:rFonts w:hint="cs"/>
          <w:rtl/>
          <w:lang w:eastAsia="en-US"/>
        </w:rPr>
        <w:t>לצורך מכרז זה חילק המשרד את מחוזותיו  הגאוגרפיים ל-</w:t>
      </w:r>
      <w:r>
        <w:rPr>
          <w:rFonts w:hint="cs"/>
          <w:b/>
          <w:bCs/>
          <w:rtl/>
          <w:lang w:eastAsia="en-US"/>
        </w:rPr>
        <w:t xml:space="preserve"> 3</w:t>
      </w:r>
      <w:r>
        <w:rPr>
          <w:rFonts w:hint="cs"/>
          <w:rtl/>
          <w:lang w:eastAsia="en-US"/>
        </w:rPr>
        <w:t xml:space="preserve">  אזורים:</w:t>
      </w:r>
    </w:p>
    <w:p>
      <w:pPr>
        <w:spacing w:line="300" w:lineRule="atLeast"/>
        <w:ind w:left="2268"/>
        <w:rPr>
          <w:lang w:eastAsia="en-US"/>
        </w:rPr>
      </w:pPr>
    </w:p>
    <w:p>
      <w:pPr>
        <w:numPr>
          <w:ilvl w:val="3"/>
          <w:numId w:val="9"/>
        </w:numPr>
        <w:rPr>
          <w:lang w:eastAsia="en-US"/>
        </w:rPr>
      </w:pPr>
      <w:r>
        <w:rPr>
          <w:rFonts w:hint="cs"/>
          <w:rtl/>
          <w:lang w:eastAsia="en-US"/>
        </w:rPr>
        <w:t xml:space="preserve">אזור </w:t>
      </w:r>
      <w:r>
        <w:rPr>
          <w:rFonts w:hint="cs"/>
          <w:b/>
          <w:bCs/>
          <w:rtl/>
          <w:lang w:eastAsia="en-US"/>
        </w:rPr>
        <w:t>1</w:t>
      </w:r>
      <w:r>
        <w:rPr>
          <w:rFonts w:hint="cs"/>
          <w:rtl/>
          <w:lang w:eastAsia="en-US"/>
        </w:rPr>
        <w:t xml:space="preserve"> כולל: מחוז חיפה ומחוז הצפון.</w:t>
      </w:r>
    </w:p>
    <w:p>
      <w:pPr>
        <w:numPr>
          <w:ilvl w:val="3"/>
          <w:numId w:val="9"/>
        </w:numPr>
        <w:rPr>
          <w:lang w:eastAsia="en-US"/>
        </w:rPr>
      </w:pPr>
      <w:bookmarkStart w:id="4" w:name="_Hlk175127546"/>
      <w:r>
        <w:rPr>
          <w:rFonts w:hint="cs"/>
          <w:rtl/>
          <w:lang w:eastAsia="en-US"/>
        </w:rPr>
        <w:t xml:space="preserve">אזור </w:t>
      </w:r>
      <w:r>
        <w:rPr>
          <w:rFonts w:hint="cs"/>
          <w:b/>
          <w:bCs/>
          <w:rtl/>
          <w:lang w:eastAsia="en-US"/>
        </w:rPr>
        <w:t>2</w:t>
      </w:r>
      <w:r>
        <w:rPr>
          <w:rFonts w:hint="cs"/>
          <w:rtl/>
          <w:lang w:eastAsia="en-US"/>
        </w:rPr>
        <w:t xml:space="preserve"> כולל: מחוז ת"א, מחוז מרכז ומחוז ירושלים (כולל מנח"י).</w:t>
      </w:r>
    </w:p>
    <w:p>
      <w:pPr>
        <w:numPr>
          <w:ilvl w:val="3"/>
          <w:numId w:val="9"/>
        </w:numPr>
        <w:rPr>
          <w:lang w:eastAsia="en-US"/>
        </w:rPr>
      </w:pPr>
      <w:bookmarkStart w:id="5" w:name="_Hlk175127612"/>
      <w:bookmarkEnd w:id="4"/>
      <w:r>
        <w:rPr>
          <w:rFonts w:hint="cs"/>
          <w:rtl/>
          <w:lang w:eastAsia="en-US"/>
        </w:rPr>
        <w:t xml:space="preserve">אזור </w:t>
      </w:r>
      <w:r>
        <w:rPr>
          <w:rFonts w:hint="cs"/>
          <w:b/>
          <w:bCs/>
          <w:rtl/>
          <w:lang w:eastAsia="en-US"/>
        </w:rPr>
        <w:t>3</w:t>
      </w:r>
      <w:r>
        <w:rPr>
          <w:rFonts w:hint="cs"/>
          <w:rtl/>
          <w:lang w:eastAsia="en-US"/>
        </w:rPr>
        <w:t xml:space="preserve"> כולל: מחוז  הדרום.</w:t>
      </w:r>
    </w:p>
    <w:bookmarkEnd w:id="5"/>
    <w:p>
      <w:pPr>
        <w:spacing w:line="300" w:lineRule="atLeast"/>
        <w:ind w:left="2268"/>
        <w:rPr>
          <w:lang w:eastAsia="en-US"/>
        </w:rPr>
      </w:pPr>
    </w:p>
    <w:p>
      <w:pPr>
        <w:spacing w:line="300" w:lineRule="atLeast"/>
        <w:ind w:left="1985" w:firstLine="283"/>
        <w:rPr>
          <w:rtl/>
          <w:lang w:eastAsia="en-US"/>
        </w:rPr>
      </w:pPr>
      <w:r>
        <w:rPr>
          <w:rFonts w:hint="cs"/>
          <w:rtl/>
          <w:lang w:eastAsia="en-US"/>
        </w:rPr>
        <w:t xml:space="preserve">מובהר בזה כי כל אזור כולל בתוכו את </w:t>
      </w:r>
      <w:r>
        <w:rPr>
          <w:rFonts w:hint="cs"/>
          <w:sz w:val="22"/>
          <w:rtl/>
        </w:rPr>
        <w:t xml:space="preserve">כיתות המחוננים </w:t>
      </w:r>
      <w:r>
        <w:rPr>
          <w:rFonts w:hint="cs"/>
          <w:rtl/>
          <w:lang w:eastAsia="en-US"/>
        </w:rPr>
        <w:t>שבתחומו.</w:t>
      </w:r>
    </w:p>
    <w:p>
      <w:pPr>
        <w:spacing w:line="300" w:lineRule="atLeast"/>
        <w:ind w:left="1418"/>
        <w:rPr>
          <w:lang w:eastAsia="en-US"/>
        </w:rPr>
      </w:pPr>
    </w:p>
    <w:p>
      <w:pPr>
        <w:widowControl w:val="0"/>
        <w:numPr>
          <w:ilvl w:val="2"/>
          <w:numId w:val="9"/>
        </w:numPr>
        <w:spacing w:line="300" w:lineRule="atLeast"/>
      </w:pPr>
      <w:r>
        <w:rPr>
          <w:rFonts w:hint="cs"/>
          <w:rtl/>
          <w:lang w:eastAsia="en-US"/>
        </w:rPr>
        <w:t>מציע יוכל להגיש הצעה לאזור בו ממוקם המוסד להשכלה גבוהה.</w:t>
      </w:r>
    </w:p>
    <w:p>
      <w:pPr>
        <w:widowControl w:val="0"/>
        <w:spacing w:line="300" w:lineRule="atLeast"/>
        <w:ind w:left="2268"/>
        <w:rPr>
          <w:rtl/>
        </w:rPr>
      </w:pPr>
    </w:p>
    <w:p>
      <w:pPr>
        <w:widowControl w:val="0"/>
        <w:numPr>
          <w:ilvl w:val="2"/>
          <w:numId w:val="9"/>
        </w:numPr>
        <w:spacing w:line="300" w:lineRule="atLeast"/>
      </w:pPr>
      <w:r>
        <w:rPr>
          <w:rFonts w:hint="cs"/>
          <w:rtl/>
        </w:rPr>
        <w:t>כל הצעה תיבדק כהצעה העומדת בפני עצמה ועל ההצעה לעמוד בכל דרישות הסף וביתר דרישות המכרז.</w:t>
      </w:r>
    </w:p>
    <w:bookmarkEnd w:id="2"/>
    <w:p>
      <w:pPr>
        <w:spacing w:line="300" w:lineRule="atLeast"/>
        <w:ind w:left="2268"/>
        <w:rPr>
          <w:rtl/>
          <w:lang w:eastAsia="en-US"/>
        </w:rPr>
      </w:pPr>
    </w:p>
    <w:p>
      <w:pPr>
        <w:numPr>
          <w:ilvl w:val="2"/>
          <w:numId w:val="9"/>
        </w:numPr>
        <w:spacing w:line="300" w:lineRule="atLeast"/>
        <w:rPr>
          <w:b/>
          <w:bCs/>
          <w:sz w:val="22"/>
          <w:lang w:eastAsia="en-US"/>
        </w:rPr>
      </w:pPr>
      <w:r>
        <w:rPr>
          <w:rFonts w:hint="cs"/>
          <w:rtl/>
        </w:rPr>
        <w:t>מציע לא יוכל להתנות זכייה באזור אחד בזכייה במחוז אחר.</w:t>
      </w:r>
    </w:p>
    <w:p>
      <w:pPr>
        <w:pStyle w:val="aff2"/>
        <w:rPr>
          <w:b/>
          <w:bCs/>
          <w:sz w:val="22"/>
          <w:rtl/>
          <w:lang w:eastAsia="en-US"/>
        </w:rPr>
      </w:pPr>
    </w:p>
    <w:p>
      <w:pPr>
        <w:numPr>
          <w:ilvl w:val="2"/>
          <w:numId w:val="9"/>
        </w:numPr>
        <w:spacing w:line="300" w:lineRule="atLeast"/>
        <w:rPr>
          <w:b/>
          <w:bCs/>
          <w:sz w:val="22"/>
          <w:lang w:eastAsia="en-US"/>
        </w:rPr>
      </w:pPr>
      <w:r>
        <w:rPr>
          <w:rFonts w:hint="cs"/>
          <w:b/>
          <w:bCs/>
          <w:sz w:val="22"/>
          <w:rtl/>
          <w:lang w:eastAsia="en-US"/>
        </w:rPr>
        <w:t>ככל שבאחד האזורים לא יהיה זוכה, המשרד שומר לעצמו את הזכות  לתת לתלמידים את השירות מאותו האזור באזור אחר.</w:t>
      </w:r>
    </w:p>
    <w:p>
      <w:pPr>
        <w:pStyle w:val="aff2"/>
        <w:rPr>
          <w:b/>
          <w:bCs/>
          <w:sz w:val="22"/>
          <w:rtl/>
          <w:lang w:eastAsia="en-US"/>
        </w:rPr>
      </w:pPr>
    </w:p>
    <w:p>
      <w:pPr>
        <w:pStyle w:val="aff2"/>
        <w:numPr>
          <w:ilvl w:val="2"/>
          <w:numId w:val="9"/>
        </w:numPr>
        <w:rPr>
          <w:b/>
          <w:bCs/>
          <w:sz w:val="22"/>
          <w:lang w:eastAsia="en-US"/>
        </w:rPr>
      </w:pPr>
      <w:r>
        <w:rPr>
          <w:b/>
          <w:bCs/>
          <w:sz w:val="22"/>
          <w:rtl/>
          <w:lang w:eastAsia="en-US"/>
        </w:rPr>
        <w:t xml:space="preserve">המשרד מבקש באמצעות מכרז זה לבחור עד </w:t>
      </w:r>
      <w:r>
        <w:rPr>
          <w:rFonts w:hint="cs"/>
          <w:b/>
          <w:bCs/>
          <w:sz w:val="22"/>
          <w:rtl/>
          <w:lang w:eastAsia="en-US"/>
        </w:rPr>
        <w:t>3</w:t>
      </w:r>
      <w:r>
        <w:rPr>
          <w:b/>
          <w:bCs/>
          <w:sz w:val="22"/>
          <w:rtl/>
          <w:lang w:eastAsia="en-US"/>
        </w:rPr>
        <w:t xml:space="preserve"> מציעים</w:t>
      </w:r>
      <w:r>
        <w:rPr>
          <w:rFonts w:hint="cs"/>
          <w:b/>
          <w:bCs/>
          <w:sz w:val="22"/>
          <w:rtl/>
          <w:lang w:eastAsia="en-US"/>
        </w:rPr>
        <w:t xml:space="preserve"> (מציע לכל אזור)</w:t>
      </w:r>
      <w:r>
        <w:rPr>
          <w:b/>
          <w:bCs/>
          <w:sz w:val="22"/>
          <w:rtl/>
          <w:lang w:eastAsia="en-US"/>
        </w:rPr>
        <w:t xml:space="preserve">, שדורגו </w:t>
      </w:r>
      <w:r>
        <w:rPr>
          <w:rFonts w:hint="cs"/>
          <w:b/>
          <w:bCs/>
          <w:sz w:val="22"/>
          <w:rtl/>
          <w:lang w:eastAsia="en-US"/>
        </w:rPr>
        <w:t>ב</w:t>
      </w:r>
      <w:r>
        <w:rPr>
          <w:b/>
          <w:bCs/>
          <w:sz w:val="22"/>
          <w:rtl/>
          <w:lang w:eastAsia="en-US"/>
        </w:rPr>
        <w:t xml:space="preserve">מקומות הראשונים, מבין כל המציעים, בשקלול ההצעות. </w:t>
      </w:r>
    </w:p>
    <w:p>
      <w:pPr>
        <w:pStyle w:val="aff2"/>
        <w:rPr>
          <w:b/>
          <w:bCs/>
          <w:sz w:val="22"/>
          <w:rtl/>
          <w:lang w:eastAsia="en-US"/>
        </w:rPr>
      </w:pPr>
    </w:p>
    <w:p>
      <w:pPr>
        <w:pStyle w:val="aff2"/>
        <w:numPr>
          <w:ilvl w:val="2"/>
          <w:numId w:val="9"/>
        </w:numPr>
        <w:jc w:val="left"/>
        <w:rPr>
          <w:b/>
          <w:bCs/>
          <w:sz w:val="22"/>
          <w:rtl/>
          <w:lang w:eastAsia="en-US"/>
        </w:rPr>
      </w:pPr>
      <w:r>
        <w:rPr>
          <w:b/>
          <w:bCs/>
          <w:sz w:val="22"/>
          <w:rtl/>
          <w:lang w:eastAsia="en-US"/>
        </w:rPr>
        <w:t>המשרד שומר לעצמו את הזכות לבחור את המציע שידורג במקום ה- 2 באזור אליו הוא מגיש את הצעתו, להיות כשיר לספק את השירותים באם לא ינתנו שירותים ע"י המציע הזוכה שדורג במקום ה- 1 באותו איזור.</w:t>
      </w:r>
    </w:p>
    <w:p>
      <w:pPr>
        <w:pStyle w:val="aff2"/>
        <w:numPr>
          <w:ilvl w:val="2"/>
          <w:numId w:val="9"/>
        </w:numPr>
        <w:rPr>
          <w:b/>
          <w:bCs/>
          <w:sz w:val="22"/>
          <w:lang w:eastAsia="en-US"/>
        </w:rPr>
      </w:pPr>
      <w:r>
        <w:rPr>
          <w:b/>
          <w:bCs/>
          <w:sz w:val="22"/>
          <w:rtl/>
          <w:lang w:eastAsia="en-US"/>
        </w:rPr>
        <w:lastRenderedPageBreak/>
        <w:t xml:space="preserve">במקרה בו יבחרו פחות מ- </w:t>
      </w:r>
      <w:r>
        <w:rPr>
          <w:rFonts w:hint="cs"/>
          <w:b/>
          <w:bCs/>
          <w:sz w:val="22"/>
          <w:rtl/>
          <w:lang w:eastAsia="en-US"/>
        </w:rPr>
        <w:t>3</w:t>
      </w:r>
      <w:r>
        <w:rPr>
          <w:b/>
          <w:bCs/>
          <w:sz w:val="22"/>
          <w:rtl/>
          <w:lang w:eastAsia="en-US"/>
        </w:rPr>
        <w:t xml:space="preserve"> מציעים</w:t>
      </w:r>
      <w:r>
        <w:rPr>
          <w:rFonts w:hint="cs"/>
          <w:b/>
          <w:bCs/>
          <w:sz w:val="22"/>
          <w:rtl/>
          <w:lang w:eastAsia="en-US"/>
        </w:rPr>
        <w:t xml:space="preserve"> (מציע לכל אזור)</w:t>
      </w:r>
      <w:r>
        <w:rPr>
          <w:b/>
          <w:bCs/>
          <w:sz w:val="22"/>
          <w:rtl/>
          <w:lang w:eastAsia="en-US"/>
        </w:rPr>
        <w:t xml:space="preserve">, המשרד ישקול לפרסם את המכרז מחדש על מנת להוסיף מציעים לרשימה כך שבסה"כ יהיו </w:t>
      </w:r>
      <w:r>
        <w:rPr>
          <w:rFonts w:hint="cs"/>
          <w:b/>
          <w:bCs/>
          <w:sz w:val="22"/>
          <w:rtl/>
          <w:lang w:eastAsia="en-US"/>
        </w:rPr>
        <w:t>3</w:t>
      </w:r>
      <w:r>
        <w:rPr>
          <w:b/>
          <w:bCs/>
          <w:sz w:val="22"/>
          <w:rtl/>
          <w:lang w:eastAsia="en-US"/>
        </w:rPr>
        <w:t xml:space="preserve"> מציעים</w:t>
      </w:r>
      <w:r>
        <w:rPr>
          <w:rFonts w:hint="cs"/>
          <w:b/>
          <w:bCs/>
          <w:sz w:val="22"/>
          <w:rtl/>
          <w:lang w:eastAsia="en-US"/>
        </w:rPr>
        <w:t xml:space="preserve"> או לחלופין לבצע חלוקת האזורים בין המציעים שיבחרו, לשיקול דעת המשרד</w:t>
      </w:r>
      <w:r>
        <w:rPr>
          <w:b/>
          <w:bCs/>
          <w:sz w:val="22"/>
          <w:rtl/>
          <w:lang w:eastAsia="en-US"/>
        </w:rPr>
        <w:t>.</w:t>
      </w:r>
    </w:p>
    <w:bookmarkEnd w:id="3"/>
    <w:p>
      <w:pPr>
        <w:widowControl w:val="0"/>
        <w:spacing w:line="280" w:lineRule="atLeast"/>
        <w:ind w:left="1418"/>
        <w:rPr>
          <w:b/>
          <w:bCs/>
          <w:sz w:val="22"/>
          <w:lang w:eastAsia="en-US"/>
        </w:rPr>
      </w:pPr>
    </w:p>
    <w:p>
      <w:pPr>
        <w:widowControl w:val="0"/>
        <w:numPr>
          <w:ilvl w:val="0"/>
          <w:numId w:val="9"/>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pPr>
        <w:widowControl w:val="0"/>
        <w:spacing w:line="300" w:lineRule="atLeast"/>
        <w:ind w:left="1134"/>
        <w:rPr>
          <w:sz w:val="22"/>
          <w:rtl/>
          <w:lang w:eastAsia="en-US"/>
        </w:rPr>
      </w:pPr>
    </w:p>
    <w:p>
      <w:pPr>
        <w:widowControl w:val="0"/>
        <w:spacing w:line="300" w:lineRule="atLeast"/>
        <w:ind w:left="709"/>
        <w:rPr>
          <w:rtl/>
          <w:lang w:eastAsia="en-US"/>
        </w:rPr>
      </w:pPr>
    </w:p>
    <w:p>
      <w:pPr>
        <w:widowControl w:val="0"/>
        <w:numPr>
          <w:ilvl w:val="1"/>
          <w:numId w:val="9"/>
        </w:numPr>
        <w:spacing w:line="300" w:lineRule="atLeast"/>
      </w:pPr>
      <w:r>
        <w:rPr>
          <w:rFonts w:hint="cs"/>
          <w:b/>
          <w:bCs/>
          <w:u w:val="single"/>
          <w:rtl/>
        </w:rPr>
        <w:t>תמיכות הקצבות והתקשרויות</w:t>
      </w:r>
    </w:p>
    <w:p>
      <w:pPr>
        <w:widowControl w:val="0"/>
        <w:overflowPunct/>
        <w:autoSpaceDE/>
        <w:autoSpaceDN/>
        <w:adjustRightInd/>
        <w:spacing w:line="300" w:lineRule="atLeast"/>
        <w:ind w:left="709"/>
        <w:textAlignment w:val="auto"/>
      </w:pPr>
    </w:p>
    <w:p>
      <w:pPr>
        <w:widowControl w:val="0"/>
        <w:numPr>
          <w:ilvl w:val="2"/>
          <w:numId w:val="9"/>
        </w:numPr>
        <w:spacing w:line="300" w:lineRule="atLeast"/>
      </w:pPr>
      <w:r>
        <w:rPr>
          <w:rFonts w:hint="cs"/>
          <w:noProof/>
          <w:rtl/>
          <w:lang w:eastAsia="en-US"/>
        </w:rPr>
        <w:t>על</w:t>
      </w:r>
      <w:r>
        <w:rPr>
          <w:rFonts w:hint="cs"/>
          <w:rtl/>
        </w:rPr>
        <w:t xml:space="preserve"> המציע לפרט בהצעתו (נספח </w:t>
      </w:r>
      <w:r>
        <w:rPr>
          <w:rFonts w:hint="cs"/>
          <w:b/>
          <w:bCs/>
          <w:rtl/>
        </w:rPr>
        <w:t>5 חוברת ההצעה</w:t>
      </w:r>
      <w:r>
        <w:rPr>
          <w:rFonts w:hint="cs"/>
          <w:rtl/>
        </w:rPr>
        <w:t>) את כל התמיכות, הקצבות וההתקשרויות הקיימות והמתוכננות עם משרד החינוך, עם משרדי ממשלה אחרים ומקרנות ציבוריות עבור כל נושא שהוא.</w:t>
      </w:r>
    </w:p>
    <w:p>
      <w:pPr>
        <w:widowControl w:val="0"/>
        <w:spacing w:line="300" w:lineRule="atLeast"/>
        <w:ind w:left="2268"/>
        <w:rPr>
          <w:rtl/>
        </w:rPr>
      </w:pPr>
    </w:p>
    <w:p>
      <w:pPr>
        <w:widowControl w:val="0"/>
        <w:tabs>
          <w:tab w:val="left" w:pos="2268"/>
        </w:tabs>
        <w:spacing w:line="300" w:lineRule="atLeast"/>
        <w:ind w:left="2268"/>
        <w:rPr>
          <w:rtl/>
        </w:rPr>
      </w:pPr>
      <w:r>
        <w:rPr>
          <w:rFonts w:hint="cs"/>
          <w:rtl/>
        </w:rPr>
        <w:t>במסגרת בדיקת ההצעות תבחן הרשימה הנ"ל מבחינת ניגוד עניינים למכרז זה.</w:t>
      </w:r>
    </w:p>
    <w:p>
      <w:pPr>
        <w:widowControl w:val="0"/>
        <w:tabs>
          <w:tab w:val="left" w:pos="2268"/>
        </w:tabs>
        <w:spacing w:line="300" w:lineRule="atLeast"/>
        <w:ind w:left="2268"/>
        <w:rPr>
          <w:rtl/>
        </w:rPr>
      </w:pPr>
    </w:p>
    <w:p>
      <w:pPr>
        <w:widowControl w:val="0"/>
        <w:tabs>
          <w:tab w:val="left" w:pos="2268"/>
        </w:tabs>
        <w:spacing w:line="300" w:lineRule="atLeast"/>
        <w:ind w:left="2268"/>
      </w:pPr>
      <w:r>
        <w:rPr>
          <w:rFonts w:hint="cs"/>
          <w:rtl/>
        </w:rPr>
        <w:t>בכל מקרה בו המשרד יחליט כי קיים חשש לניגוד עניינים, יקבע המשרד אם מציע זה יוכל לזכות ואם כן באילו תנאים.</w:t>
      </w:r>
    </w:p>
    <w:p>
      <w:pPr>
        <w:widowControl w:val="0"/>
        <w:spacing w:line="300" w:lineRule="atLeast"/>
        <w:rPr>
          <w:rtl/>
        </w:rPr>
      </w:pPr>
    </w:p>
    <w:p>
      <w:pPr>
        <w:widowControl w:val="0"/>
        <w:numPr>
          <w:ilvl w:val="2"/>
          <w:numId w:val="9"/>
        </w:numPr>
        <w:spacing w:line="300" w:lineRule="atLeast"/>
      </w:pPr>
      <w:r>
        <w:rPr>
          <w:rFonts w:hint="cs"/>
          <w:rtl/>
        </w:rPr>
        <w:t xml:space="preserve">במקרה שהזוכה איתו יתקשר המשרד לצורך מכרז זה הינו עמותה המקבלת מהמדינה תמיכה עבור </w:t>
      </w:r>
      <w:r>
        <w:rPr>
          <w:rFonts w:hint="cs"/>
          <w:b/>
          <w:bCs/>
          <w:u w:val="single"/>
          <w:rtl/>
          <w:lang w:eastAsia="en-US"/>
        </w:rPr>
        <w:t>תוכנית העשרה במוסדות אקדמיים, בתחומי דעת שונים לתלמידים מחוננים ומצטיינים</w:t>
      </w:r>
      <w:r>
        <w:rPr>
          <w:rFonts w:hint="cs"/>
          <w:rtl/>
        </w:rPr>
        <w:t xml:space="preserve">, עליו להצהיר בהצעתו שבמקרה שיזכה במכרז, ימנע מלבקש תמיכה בנושא, כל זמן שישמש כספק של המשרד. על הזוכה למלא הצהרה על גבי טופס שדוגמתו מובאת בנספח </w:t>
      </w:r>
      <w:r>
        <w:rPr>
          <w:rFonts w:hint="cs"/>
          <w:b/>
          <w:bCs/>
          <w:rtl/>
        </w:rPr>
        <w:t>5 חוברת ההצעה.</w:t>
      </w:r>
    </w:p>
    <w:p>
      <w:pPr>
        <w:widowControl w:val="0"/>
        <w:spacing w:line="300" w:lineRule="atLeast"/>
        <w:ind w:left="709" w:right="709"/>
        <w:rPr>
          <w:rtl/>
          <w:lang w:eastAsia="en-US"/>
        </w:rPr>
      </w:pPr>
    </w:p>
    <w:p>
      <w:pPr>
        <w:widowControl w:val="0"/>
        <w:spacing w:line="300" w:lineRule="atLeast"/>
        <w:rPr>
          <w:sz w:val="22"/>
          <w:szCs w:val="22"/>
          <w:rtl/>
          <w:lang w:eastAsia="en-US"/>
        </w:rPr>
      </w:pPr>
    </w:p>
    <w:p>
      <w:pPr>
        <w:widowControl w:val="0"/>
        <w:numPr>
          <w:ilvl w:val="1"/>
          <w:numId w:val="9"/>
        </w:numPr>
        <w:spacing w:line="300" w:lineRule="atLeast"/>
        <w:rPr>
          <w:lang w:eastAsia="en-US"/>
        </w:rPr>
      </w:pPr>
      <w:bookmarkStart w:id="6" w:name="_Hlk165452096"/>
      <w:r>
        <w:rPr>
          <w:rFonts w:hint="cs"/>
          <w:rtl/>
          <w:lang w:eastAsia="en-US"/>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p>
    <w:bookmarkEnd w:id="6"/>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כספק של המשרד.</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5 חוברת ההצעה</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Pr>
          <w:b/>
          <w:bCs/>
          <w:noProof/>
          <w:u w:val="single"/>
          <w:rtl/>
          <w:lang w:eastAsia="en-US"/>
        </w:rPr>
      </w:pPr>
    </w:p>
    <w:p>
      <w:pPr>
        <w:widowControl w:val="0"/>
        <w:spacing w:line="300" w:lineRule="atLeast"/>
        <w:ind w:left="1418"/>
        <w:rPr>
          <w:b/>
          <w:bCs/>
          <w:position w:val="2"/>
          <w:u w:val="single"/>
        </w:rPr>
      </w:pPr>
    </w:p>
    <w:p>
      <w:pPr>
        <w:widowControl w:val="0"/>
        <w:numPr>
          <w:ilvl w:val="1"/>
          <w:numId w:val="9"/>
        </w:numPr>
        <w:spacing w:line="300" w:lineRule="atLeast"/>
        <w:rPr>
          <w:b/>
          <w:bCs/>
          <w:u w:val="single"/>
          <w:lang w:eastAsia="en-US"/>
        </w:rPr>
      </w:pPr>
      <w:r>
        <w:rPr>
          <w:rFonts w:hint="cs"/>
          <w:b/>
          <w:bCs/>
          <w:position w:val="2"/>
          <w:u w:val="single"/>
          <w:rtl/>
        </w:rPr>
        <w:t>דרישות סף מכל מציע</w:t>
      </w:r>
    </w:p>
    <w:p>
      <w:pPr>
        <w:widowControl w:val="0"/>
        <w:spacing w:line="300" w:lineRule="atLeast"/>
        <w:ind w:left="1418"/>
        <w:rPr>
          <w:b/>
          <w:bCs/>
          <w:u w:val="single"/>
          <w:rtl/>
          <w:lang w:eastAsia="en-US"/>
        </w:rPr>
      </w:pPr>
    </w:p>
    <w:p>
      <w:pPr>
        <w:widowControl w:val="0"/>
        <w:numPr>
          <w:ilvl w:val="2"/>
          <w:numId w:val="9"/>
        </w:numPr>
        <w:spacing w:line="300" w:lineRule="atLeast"/>
        <w:rPr>
          <w:rtl/>
          <w:lang w:eastAsia="en-US"/>
        </w:rPr>
      </w:pPr>
      <w:bookmarkStart w:id="7" w:name="_Hlk165451418"/>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pPr>
        <w:widowControl w:val="0"/>
        <w:spacing w:line="300" w:lineRule="atLeast"/>
        <w:rPr>
          <w:rtl/>
          <w:lang w:eastAsia="en-US"/>
        </w:rPr>
      </w:pPr>
    </w:p>
    <w:p>
      <w:pPr>
        <w:widowControl w:val="0"/>
        <w:numPr>
          <w:ilvl w:val="2"/>
          <w:numId w:val="9"/>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pPr>
        <w:widowControl w:val="0"/>
        <w:spacing w:line="300" w:lineRule="atLeast"/>
        <w:rPr>
          <w:rtl/>
          <w:lang w:eastAsia="en-US"/>
        </w:rPr>
      </w:pPr>
    </w:p>
    <w:p>
      <w:pPr>
        <w:widowControl w:val="0"/>
        <w:numPr>
          <w:ilvl w:val="2"/>
          <w:numId w:val="9"/>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pPr>
        <w:widowControl w:val="0"/>
        <w:spacing w:line="300" w:lineRule="atLeast"/>
        <w:rPr>
          <w:b/>
          <w:bCs/>
          <w:rtl/>
          <w:lang w:eastAsia="en-US"/>
        </w:rPr>
      </w:pPr>
    </w:p>
    <w:p>
      <w:pPr>
        <w:widowControl w:val="0"/>
        <w:numPr>
          <w:ilvl w:val="2"/>
          <w:numId w:val="9"/>
        </w:numPr>
        <w:spacing w:line="300" w:lineRule="atLeast"/>
      </w:pPr>
      <w:r>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pPr>
        <w:widowControl w:val="0"/>
        <w:spacing w:line="300" w:lineRule="atLeast"/>
        <w:ind w:left="2268"/>
        <w:rPr>
          <w:lang w:eastAsia="en-US"/>
        </w:rPr>
      </w:pPr>
    </w:p>
    <w:p>
      <w:pPr>
        <w:widowControl w:val="0"/>
        <w:numPr>
          <w:ilvl w:val="2"/>
          <w:numId w:val="9"/>
        </w:numPr>
        <w:spacing w:line="280" w:lineRule="atLeast"/>
        <w:rPr>
          <w:lang w:eastAsia="en-US"/>
        </w:rPr>
      </w:pPr>
      <w:bookmarkStart w:id="8" w:name="_Hlk165450248"/>
      <w:r>
        <w:rPr>
          <w:rFonts w:hint="cs"/>
          <w:rtl/>
          <w:lang w:eastAsia="en-US"/>
        </w:rPr>
        <w:t>המציע הינו מוסד להשכלה גבוהה המוכר ע"י המל"ג ומוסמך להעניק תואר שני לפחות בתחומי המדעים ו/או ההנדסה (</w:t>
      </w:r>
      <w:r>
        <w:rPr>
          <w:lang w:eastAsia="en-US"/>
        </w:rPr>
        <w:t>M.sc</w:t>
      </w:r>
      <w:r>
        <w:rPr>
          <w:rFonts w:hint="cs"/>
          <w:rtl/>
          <w:lang w:eastAsia="en-US"/>
        </w:rPr>
        <w:t>) ו/או מדעי החברה (</w:t>
      </w:r>
      <w:r>
        <w:rPr>
          <w:lang w:eastAsia="en-US"/>
        </w:rPr>
        <w:t>M.A</w:t>
      </w:r>
      <w:r>
        <w:rPr>
          <w:rFonts w:hint="cs"/>
          <w:rtl/>
          <w:lang w:eastAsia="en-US"/>
        </w:rPr>
        <w:t>) .</w:t>
      </w:r>
    </w:p>
    <w:bookmarkEnd w:id="8"/>
    <w:p>
      <w:pPr>
        <w:pStyle w:val="aff2"/>
        <w:rPr>
          <w:rtl/>
          <w:lang w:eastAsia="en-US"/>
        </w:rPr>
      </w:pPr>
    </w:p>
    <w:p>
      <w:pPr>
        <w:widowControl w:val="0"/>
        <w:numPr>
          <w:ilvl w:val="2"/>
          <w:numId w:val="9"/>
        </w:numPr>
        <w:spacing w:line="280" w:lineRule="atLeast"/>
        <w:rPr>
          <w:lang w:eastAsia="en-US"/>
        </w:rPr>
      </w:pPr>
      <w:r>
        <w:rPr>
          <w:rFonts w:hint="cs"/>
          <w:rtl/>
          <w:lang w:eastAsia="en-US"/>
        </w:rPr>
        <w:t>המוסד להשכלה הגבוהה של המציע ממוקם באזור אליו הוא מגיש את הצעתו.</w:t>
      </w:r>
    </w:p>
    <w:p>
      <w:pPr>
        <w:pStyle w:val="aff2"/>
        <w:spacing w:line="280" w:lineRule="atLeast"/>
        <w:rPr>
          <w:rtl/>
          <w:lang w:eastAsia="en-US"/>
        </w:rPr>
      </w:pPr>
    </w:p>
    <w:p>
      <w:pPr>
        <w:widowControl w:val="0"/>
        <w:numPr>
          <w:ilvl w:val="2"/>
          <w:numId w:val="9"/>
        </w:numPr>
        <w:spacing w:line="280" w:lineRule="atLeast"/>
        <w:rPr>
          <w:lang w:eastAsia="en-US"/>
        </w:rPr>
      </w:pPr>
      <w:r>
        <w:rPr>
          <w:rFonts w:hint="cs"/>
          <w:rtl/>
          <w:lang w:eastAsia="en-US"/>
        </w:rPr>
        <w:t xml:space="preserve">על המציע להיות בעל ניסיון של </w:t>
      </w:r>
      <w:r>
        <w:rPr>
          <w:rFonts w:hint="cs"/>
          <w:b/>
          <w:bCs/>
          <w:rtl/>
          <w:lang w:eastAsia="en-US"/>
        </w:rPr>
        <w:t>3</w:t>
      </w:r>
      <w:r>
        <w:rPr>
          <w:rFonts w:hint="cs"/>
          <w:rtl/>
          <w:lang w:eastAsia="en-US"/>
        </w:rPr>
        <w:t xml:space="preserve"> שנות לימודים אקדמיות שנצבר במהלך 5 השנים האחרונות, בהפעלת תוכנית העשרה אחת או יותר לבני נוער, ב- </w:t>
      </w:r>
      <w:r>
        <w:rPr>
          <w:rFonts w:hint="cs"/>
          <w:b/>
          <w:bCs/>
          <w:rtl/>
          <w:lang w:eastAsia="en-US"/>
        </w:rPr>
        <w:t>2</w:t>
      </w:r>
      <w:r>
        <w:rPr>
          <w:rFonts w:hint="cs"/>
          <w:rtl/>
          <w:lang w:eastAsia="en-US"/>
        </w:rPr>
        <w:t xml:space="preserve"> תחומי דעת שונים לפחות הנלמדים במוסד האקדמי, וזאת כדלקמן:</w:t>
      </w:r>
    </w:p>
    <w:p>
      <w:pPr>
        <w:spacing w:line="280" w:lineRule="atLeast"/>
        <w:rPr>
          <w:lang w:eastAsia="en-US"/>
        </w:rPr>
      </w:pPr>
    </w:p>
    <w:p>
      <w:pPr>
        <w:numPr>
          <w:ilvl w:val="3"/>
          <w:numId w:val="20"/>
        </w:numPr>
        <w:spacing w:line="280" w:lineRule="atLeast"/>
        <w:ind w:right="0"/>
        <w:rPr>
          <w:lang w:eastAsia="en-US"/>
        </w:rPr>
      </w:pPr>
      <w:r>
        <w:rPr>
          <w:rFonts w:hint="cs"/>
          <w:rtl/>
          <w:lang w:eastAsia="en-US"/>
        </w:rPr>
        <w:t xml:space="preserve">הפעילות במסגרת התוכניות הייתה עבור לפחות </w:t>
      </w:r>
      <w:r>
        <w:rPr>
          <w:rFonts w:hint="cs"/>
          <w:b/>
          <w:bCs/>
          <w:rtl/>
          <w:lang w:eastAsia="en-US"/>
        </w:rPr>
        <w:t>20</w:t>
      </w:r>
      <w:r>
        <w:rPr>
          <w:rFonts w:hint="cs"/>
          <w:rtl/>
          <w:lang w:eastAsia="en-US"/>
        </w:rPr>
        <w:t xml:space="preserve"> קבוצות תלמידים.</w:t>
      </w:r>
    </w:p>
    <w:p>
      <w:pPr>
        <w:numPr>
          <w:ilvl w:val="3"/>
          <w:numId w:val="20"/>
        </w:numPr>
        <w:spacing w:line="280" w:lineRule="atLeast"/>
        <w:ind w:right="0"/>
        <w:rPr>
          <w:lang w:eastAsia="en-US"/>
        </w:rPr>
      </w:pPr>
      <w:r>
        <w:rPr>
          <w:rFonts w:hint="cs"/>
          <w:rtl/>
          <w:lang w:eastAsia="en-US"/>
        </w:rPr>
        <w:t xml:space="preserve">כל קבוצה כללה לפחות </w:t>
      </w:r>
      <w:r>
        <w:rPr>
          <w:rFonts w:hint="cs"/>
          <w:b/>
          <w:bCs/>
          <w:rtl/>
          <w:lang w:eastAsia="en-US"/>
        </w:rPr>
        <w:t>10</w:t>
      </w:r>
      <w:r>
        <w:rPr>
          <w:rFonts w:hint="cs"/>
          <w:rtl/>
          <w:lang w:eastAsia="en-US"/>
        </w:rPr>
        <w:t xml:space="preserve"> תלמידים.</w:t>
      </w:r>
    </w:p>
    <w:p>
      <w:pPr>
        <w:numPr>
          <w:ilvl w:val="3"/>
          <w:numId w:val="20"/>
        </w:numPr>
        <w:spacing w:line="280" w:lineRule="atLeast"/>
        <w:ind w:right="0"/>
        <w:rPr>
          <w:lang w:eastAsia="en-US"/>
        </w:rPr>
      </w:pPr>
      <w:r>
        <w:rPr>
          <w:rFonts w:hint="cs"/>
          <w:rtl/>
          <w:lang w:eastAsia="en-US"/>
        </w:rPr>
        <w:t xml:space="preserve">סה"כ שעות הפעילות של כל התוכניות עמד במצטבר על לפחות </w:t>
      </w:r>
      <w:r>
        <w:rPr>
          <w:rFonts w:hint="cs"/>
          <w:b/>
          <w:bCs/>
          <w:rtl/>
          <w:lang w:eastAsia="en-US"/>
        </w:rPr>
        <w:t>100</w:t>
      </w:r>
      <w:r>
        <w:rPr>
          <w:rFonts w:hint="cs"/>
          <w:rtl/>
          <w:lang w:eastAsia="en-US"/>
        </w:rPr>
        <w:t xml:space="preserve"> שעות שנתיות.</w:t>
      </w:r>
    </w:p>
    <w:p>
      <w:pPr>
        <w:widowControl w:val="0"/>
        <w:spacing w:line="300" w:lineRule="atLeast"/>
        <w:ind w:left="2160"/>
        <w:rPr>
          <w:b/>
          <w:bCs/>
          <w:lang w:eastAsia="en-US"/>
        </w:rPr>
      </w:pPr>
    </w:p>
    <w:bookmarkEnd w:id="7"/>
    <w:p>
      <w:pPr>
        <w:widowControl w:val="0"/>
        <w:spacing w:line="300" w:lineRule="atLeast"/>
        <w:rPr>
          <w:b/>
          <w:bCs/>
          <w:lang w:eastAsia="en-US"/>
        </w:rPr>
      </w:pPr>
    </w:p>
    <w:p>
      <w:pPr>
        <w:widowControl w:val="0"/>
        <w:numPr>
          <w:ilvl w:val="1"/>
          <w:numId w:val="9"/>
        </w:numPr>
        <w:spacing w:line="300" w:lineRule="atLeast"/>
        <w:rPr>
          <w:b/>
          <w:bCs/>
          <w:lang w:eastAsia="en-US"/>
        </w:rPr>
      </w:pPr>
      <w:r>
        <w:rPr>
          <w:rFonts w:hint="cs"/>
          <w:b/>
          <w:bCs/>
          <w:rtl/>
          <w:lang w:eastAsia="en-US"/>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pPr>
        <w:widowControl w:val="0"/>
        <w:spacing w:line="300" w:lineRule="atLeast"/>
        <w:ind w:left="1418"/>
        <w:rPr>
          <w:b/>
          <w:bCs/>
          <w:lang w:eastAsia="en-US"/>
        </w:rPr>
      </w:pPr>
    </w:p>
    <w:p>
      <w:pPr>
        <w:widowControl w:val="0"/>
        <w:numPr>
          <w:ilvl w:val="1"/>
          <w:numId w:val="9"/>
        </w:numPr>
        <w:spacing w:line="300" w:lineRule="atLeast"/>
        <w:ind w:left="1417"/>
        <w:textAlignment w:val="auto"/>
        <w:rPr>
          <w:rFonts w:ascii="David" w:hAnsi="David"/>
          <w:lang w:eastAsia="en-US"/>
        </w:rPr>
      </w:pPr>
      <w:r>
        <w:rPr>
          <w:rtl/>
          <w:lang w:eastAsia="en-US"/>
        </w:rPr>
        <w:t>המשרד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אינו ראוי לשמש כספק במכרז המספק שירותים המבוקשים במכרז זה.</w:t>
      </w:r>
    </w:p>
    <w:p>
      <w:pPr>
        <w:widowControl w:val="0"/>
        <w:spacing w:line="300" w:lineRule="atLeast"/>
        <w:ind w:left="1418"/>
        <w:textAlignment w:val="auto"/>
        <w:rPr>
          <w:b/>
          <w:bCs/>
          <w:u w:val="single"/>
          <w:lang w:eastAsia="en-US"/>
        </w:rPr>
      </w:pPr>
    </w:p>
    <w:p>
      <w:pPr>
        <w:widowControl w:val="0"/>
        <w:spacing w:line="300" w:lineRule="atLeast"/>
        <w:ind w:left="709"/>
        <w:rPr>
          <w:b/>
          <w:bCs/>
          <w:u w:val="single"/>
          <w:lang w:eastAsia="en-US"/>
        </w:rPr>
      </w:pPr>
    </w:p>
    <w:p>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הגדרות</w:t>
      </w:r>
    </w:p>
    <w:p>
      <w:pPr>
        <w:widowControl w:val="0"/>
        <w:spacing w:line="300" w:lineRule="atLeast"/>
        <w:rPr>
          <w:b/>
          <w:bCs/>
          <w:u w:val="single"/>
          <w:lang w:eastAsia="en-US"/>
        </w:rPr>
      </w:pPr>
    </w:p>
    <w:p>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pPr>
        <w:widowControl w:val="0"/>
        <w:spacing w:line="300" w:lineRule="atLeast"/>
        <w:ind w:left="709"/>
        <w:rPr>
          <w:lang w:eastAsia="en-US"/>
        </w:rPr>
      </w:pPr>
    </w:p>
    <w:p>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bookmarkStart w:id="9" w:name="_Hlk165449924"/>
      <w:r>
        <w:rPr>
          <w:rtl/>
          <w:lang w:eastAsia="en-US"/>
        </w:rPr>
        <w:t>האגף למחוננים ומצטיינים</w:t>
      </w:r>
      <w:bookmarkEnd w:id="9"/>
    </w:p>
    <w:p>
      <w:pPr>
        <w:widowControl w:val="0"/>
        <w:spacing w:line="300" w:lineRule="atLeast"/>
        <w:rPr>
          <w:rtl/>
          <w:lang w:eastAsia="en-US"/>
        </w:rPr>
      </w:pPr>
    </w:p>
    <w:p>
      <w:pPr>
        <w:widowControl w:val="0"/>
        <w:numPr>
          <w:ilvl w:val="1"/>
          <w:numId w:val="9"/>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הפעלת תוכנית העשרה במוסדות אקדמיים, בתחומי דעת שונים לתלמידים מחוננים ומצטיינים</w:t>
      </w:r>
    </w:p>
    <w:p>
      <w:pPr>
        <w:widowControl w:val="0"/>
        <w:spacing w:line="300" w:lineRule="atLeast"/>
        <w:rPr>
          <w:rtl/>
          <w:lang w:eastAsia="en-US"/>
        </w:rPr>
      </w:pPr>
    </w:p>
    <w:p>
      <w:pPr>
        <w:widowControl w:val="0"/>
        <w:numPr>
          <w:ilvl w:val="1"/>
          <w:numId w:val="9"/>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pPr>
        <w:pStyle w:val="af3"/>
        <w:widowControl w:val="0"/>
        <w:numPr>
          <w:ilvl w:val="1"/>
          <w:numId w:val="9"/>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11"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או הוראת הקיזוז (לגבי מוסדות להשכלה גבוהה המתוקצבים ע"י הות"ת)</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הספק עפ"י תנאי המכרז, עפ"י הצעתו כפי שאושרה ע"י ועדת המכרזים וחוזה ההתקשרות.</w:t>
      </w:r>
    </w:p>
    <w:p>
      <w:pPr>
        <w:widowControl w:val="0"/>
        <w:spacing w:line="300" w:lineRule="atLeast"/>
        <w:ind w:left="1418"/>
        <w:rPr>
          <w:rtl/>
          <w:lang w:eastAsia="en-US"/>
        </w:rPr>
      </w:pPr>
    </w:p>
    <w:p>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pPr>
        <w:widowControl w:val="0"/>
        <w:spacing w:line="300" w:lineRule="atLeast"/>
        <w:ind w:left="1418"/>
        <w:rPr>
          <w:rtl/>
          <w:lang w:eastAsia="en-US"/>
        </w:rPr>
      </w:pPr>
    </w:p>
    <w:p>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pPr>
        <w:widowControl w:val="0"/>
        <w:spacing w:line="300" w:lineRule="atLeast"/>
        <w:ind w:left="1418"/>
        <w:rPr>
          <w:rtl/>
          <w:lang w:eastAsia="en-US"/>
        </w:rPr>
      </w:pPr>
    </w:p>
    <w:p>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pPr>
        <w:widowControl w:val="0"/>
        <w:spacing w:line="300" w:lineRule="atLeast"/>
        <w:rPr>
          <w:rtl/>
          <w:lang w:eastAsia="en-US"/>
        </w:rPr>
      </w:pPr>
    </w:p>
    <w:p>
      <w:pPr>
        <w:widowControl w:val="0"/>
        <w:numPr>
          <w:ilvl w:val="1"/>
          <w:numId w:val="9"/>
        </w:numPr>
        <w:spacing w:line="300" w:lineRule="atLeast"/>
        <w:rPr>
          <w:rtl/>
        </w:rPr>
      </w:pPr>
      <w:r>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pPr>
        <w:widowControl w:val="0"/>
        <w:spacing w:line="300" w:lineRule="atLeast"/>
        <w:ind w:left="1418"/>
      </w:pPr>
    </w:p>
    <w:p>
      <w:pPr>
        <w:widowControl w:val="0"/>
        <w:numPr>
          <w:ilvl w:val="1"/>
          <w:numId w:val="9"/>
        </w:numPr>
        <w:spacing w:line="300" w:lineRule="atLeast"/>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pPr>
        <w:pStyle w:val="aff2"/>
        <w:rPr>
          <w:rtl/>
        </w:rPr>
      </w:pPr>
    </w:p>
    <w:p>
      <w:pPr>
        <w:widowControl w:val="0"/>
        <w:numPr>
          <w:ilvl w:val="1"/>
          <w:numId w:val="9"/>
        </w:numPr>
        <w:spacing w:line="300" w:lineRule="atLeast"/>
        <w:rPr>
          <w:lang w:eastAsia="en-US"/>
        </w:rPr>
      </w:pPr>
      <w:bookmarkStart w:id="10" w:name="OLE_LINK1"/>
      <w:r>
        <w:rPr>
          <w:rFonts w:hint="cs"/>
          <w:b/>
          <w:bCs/>
          <w:rtl/>
          <w:lang w:eastAsia="en-US"/>
        </w:rPr>
        <w:t>שנה</w:t>
      </w:r>
      <w:r>
        <w:rPr>
          <w:rFonts w:hint="cs"/>
          <w:rtl/>
          <w:lang w:eastAsia="en-US"/>
        </w:rPr>
        <w:t xml:space="preserve"> </w:t>
      </w:r>
      <w:r>
        <w:rPr>
          <w:rtl/>
          <w:lang w:eastAsia="en-US"/>
        </w:rPr>
        <w:t>–</w:t>
      </w:r>
      <w:r>
        <w:rPr>
          <w:rFonts w:hint="cs"/>
          <w:rtl/>
          <w:lang w:eastAsia="en-US"/>
        </w:rPr>
        <w:t xml:space="preserve"> שנת לימודים.</w:t>
      </w:r>
    </w:p>
    <w:bookmarkEnd w:id="10"/>
    <w:p>
      <w:pPr>
        <w:widowControl w:val="0"/>
        <w:spacing w:line="300" w:lineRule="atLeast"/>
        <w:rPr>
          <w:rtl/>
          <w:lang w:eastAsia="en-US"/>
        </w:rPr>
      </w:pPr>
    </w:p>
    <w:p>
      <w:pPr>
        <w:widowControl w:val="0"/>
        <w:numPr>
          <w:ilvl w:val="1"/>
          <w:numId w:val="9"/>
        </w:numPr>
        <w:spacing w:line="300" w:lineRule="atLeast"/>
        <w:rPr>
          <w:lang w:eastAsia="en-US"/>
        </w:rPr>
      </w:pPr>
      <w:r>
        <w:rPr>
          <w:rFonts w:hint="cs"/>
          <w:b/>
          <w:bCs/>
          <w:rtl/>
          <w:lang w:eastAsia="en-US"/>
        </w:rPr>
        <w:t xml:space="preserve">שנה אחרונה </w:t>
      </w:r>
      <w:r>
        <w:rPr>
          <w:rtl/>
          <w:lang w:eastAsia="en-US"/>
        </w:rPr>
        <w:t>–</w:t>
      </w:r>
      <w:r>
        <w:rPr>
          <w:rFonts w:hint="cs"/>
          <w:rtl/>
          <w:lang w:eastAsia="en-US"/>
        </w:rPr>
        <w:t xml:space="preserve"> התקופה המתייחסת לשנת הלימודים האקדמית האחרונה שקדמה למועד האחרון להגשת ההצעה.</w:t>
      </w:r>
    </w:p>
    <w:p>
      <w:pPr>
        <w:widowControl w:val="0"/>
        <w:spacing w:line="300" w:lineRule="atLeast"/>
        <w:rPr>
          <w:rtl/>
          <w:lang w:eastAsia="en-US"/>
        </w:rPr>
      </w:pPr>
    </w:p>
    <w:p>
      <w:pPr>
        <w:widowControl w:val="0"/>
        <w:numPr>
          <w:ilvl w:val="1"/>
          <w:numId w:val="9"/>
        </w:numPr>
        <w:spacing w:line="300" w:lineRule="atLeast"/>
        <w:rPr>
          <w:lang w:eastAsia="en-US"/>
        </w:rPr>
      </w:pPr>
      <w:r>
        <w:rPr>
          <w:rFonts w:hint="cs"/>
          <w:b/>
          <w:bCs/>
          <w:rtl/>
          <w:lang w:eastAsia="en-US"/>
        </w:rPr>
        <w:t>חודש אחרון/חודשים אחרונים</w:t>
      </w:r>
      <w:r>
        <w:rPr>
          <w:rFonts w:hint="cs"/>
          <w:rtl/>
          <w:lang w:eastAsia="en-US"/>
        </w:rPr>
        <w:t xml:space="preserve"> </w:t>
      </w:r>
      <w:r>
        <w:rPr>
          <w:rtl/>
          <w:lang w:eastAsia="en-US"/>
        </w:rPr>
        <w:t>–</w:t>
      </w:r>
      <w:r>
        <w:rPr>
          <w:rFonts w:hint="cs"/>
          <w:rtl/>
          <w:lang w:eastAsia="en-US"/>
        </w:rPr>
        <w:t xml:space="preserve"> התקופה מתייחסת למספר החודשים הנקוב במכרז, מהמועד האחרון להגשת ההצעות.</w:t>
      </w:r>
    </w:p>
    <w:p>
      <w:pPr>
        <w:pStyle w:val="aff2"/>
        <w:rPr>
          <w:rtl/>
          <w:lang w:eastAsia="en-US"/>
        </w:rPr>
      </w:pPr>
    </w:p>
    <w:p>
      <w:pPr>
        <w:numPr>
          <w:ilvl w:val="1"/>
          <w:numId w:val="9"/>
        </w:numPr>
        <w:rPr>
          <w:lang w:eastAsia="en-US"/>
        </w:rPr>
      </w:pPr>
      <w:r>
        <w:rPr>
          <w:b/>
          <w:bCs/>
          <w:rtl/>
          <w:lang w:eastAsia="en-US"/>
        </w:rPr>
        <w:t xml:space="preserve">שעת מפגש </w:t>
      </w:r>
      <w:r>
        <w:rPr>
          <w:rFonts w:hint="cs"/>
          <w:b/>
          <w:bCs/>
          <w:rtl/>
          <w:lang w:eastAsia="en-US"/>
        </w:rPr>
        <w:t>ו/</w:t>
      </w:r>
      <w:r>
        <w:rPr>
          <w:b/>
          <w:bCs/>
          <w:rtl/>
          <w:lang w:eastAsia="en-US"/>
        </w:rPr>
        <w:t xml:space="preserve">או שעת לימוד </w:t>
      </w:r>
      <w:r>
        <w:rPr>
          <w:rtl/>
          <w:lang w:eastAsia="en-US"/>
        </w:rPr>
        <w:t xml:space="preserve">– שעה של 60 דקות הכוללת  </w:t>
      </w:r>
      <w:r>
        <w:rPr>
          <w:rFonts w:hint="cs"/>
          <w:rtl/>
          <w:lang w:eastAsia="en-US"/>
        </w:rPr>
        <w:t xml:space="preserve">50 </w:t>
      </w:r>
      <w:r>
        <w:rPr>
          <w:rtl/>
          <w:lang w:eastAsia="en-US"/>
        </w:rPr>
        <w:t>דקות פעילות ו-10 דקות הפסקה. בכל מקרה התשלום למבצעי הפעילות מטעם הספק יהיה עבור 60 דקות.</w:t>
      </w:r>
    </w:p>
    <w:p>
      <w:pPr>
        <w:pStyle w:val="aff2"/>
        <w:rPr>
          <w:rtl/>
          <w:lang w:eastAsia="en-US"/>
        </w:rPr>
      </w:pPr>
    </w:p>
    <w:p>
      <w:pPr>
        <w:numPr>
          <w:ilvl w:val="1"/>
          <w:numId w:val="9"/>
        </w:numPr>
        <w:rPr>
          <w:lang w:eastAsia="en-US"/>
        </w:rPr>
      </w:pPr>
      <w:r>
        <w:rPr>
          <w:rFonts w:hint="cs"/>
          <w:b/>
          <w:bCs/>
          <w:rtl/>
          <w:lang w:eastAsia="en-US"/>
        </w:rPr>
        <w:t>תחום דעת</w:t>
      </w:r>
      <w:r>
        <w:rPr>
          <w:rFonts w:hint="cs"/>
          <w:rtl/>
          <w:lang w:eastAsia="en-US"/>
        </w:rPr>
        <w:t xml:space="preserve"> -  </w:t>
      </w:r>
      <w:r>
        <w:rPr>
          <w:rtl/>
          <w:lang w:eastAsia="en-US"/>
        </w:rPr>
        <w:t xml:space="preserve">ענף של ידע, אשר נלמד </w:t>
      </w:r>
      <w:r>
        <w:rPr>
          <w:rFonts w:hint="cs"/>
          <w:rtl/>
          <w:lang w:eastAsia="en-US"/>
        </w:rPr>
        <w:t>ו/</w:t>
      </w:r>
      <w:r>
        <w:rPr>
          <w:rtl/>
          <w:lang w:eastAsia="en-US"/>
        </w:rPr>
        <w:t>או נחקר באורח רשמי באקדמיה</w:t>
      </w:r>
      <w:r>
        <w:rPr>
          <w:rFonts w:hint="cs"/>
          <w:rtl/>
          <w:lang w:eastAsia="en-US"/>
        </w:rPr>
        <w:t>.</w:t>
      </w:r>
    </w:p>
    <w:p>
      <w:pPr>
        <w:pStyle w:val="aff2"/>
        <w:rPr>
          <w:rtl/>
          <w:lang w:eastAsia="en-US"/>
        </w:rPr>
      </w:pPr>
    </w:p>
    <w:p>
      <w:pPr>
        <w:numPr>
          <w:ilvl w:val="1"/>
          <w:numId w:val="9"/>
        </w:numPr>
        <w:rPr>
          <w:lang w:eastAsia="en-US"/>
        </w:rPr>
      </w:pPr>
      <w:r>
        <w:rPr>
          <w:rFonts w:hint="cs"/>
          <w:b/>
          <w:bCs/>
          <w:rtl/>
          <w:lang w:eastAsia="en-US"/>
        </w:rPr>
        <w:t>גודל קבוצה</w:t>
      </w:r>
      <w:r>
        <w:rPr>
          <w:rFonts w:hint="cs"/>
          <w:rtl/>
          <w:lang w:eastAsia="en-US"/>
        </w:rPr>
        <w:t xml:space="preserve"> </w:t>
      </w:r>
      <w:r>
        <w:rPr>
          <w:rtl/>
          <w:lang w:eastAsia="en-US"/>
        </w:rPr>
        <w:t>–</w:t>
      </w:r>
      <w:r>
        <w:rPr>
          <w:rFonts w:hint="cs"/>
          <w:rtl/>
          <w:lang w:eastAsia="en-US"/>
        </w:rPr>
        <w:t xml:space="preserve"> ביסודי : עד 26 תלמידים,  בעל יסודי: עד 30 תלמידים.</w:t>
      </w:r>
    </w:p>
    <w:p>
      <w:pPr>
        <w:pStyle w:val="aff2"/>
        <w:rPr>
          <w:rtl/>
          <w:lang w:eastAsia="en-US"/>
        </w:rPr>
      </w:pPr>
    </w:p>
    <w:p>
      <w:pPr>
        <w:widowControl w:val="0"/>
        <w:numPr>
          <w:ilvl w:val="0"/>
          <w:numId w:val="9"/>
        </w:numPr>
        <w:spacing w:line="300" w:lineRule="atLeast"/>
        <w:rPr>
          <w:b/>
          <w:bCs/>
          <w:sz w:val="28"/>
          <w:szCs w:val="28"/>
          <w:u w:val="single"/>
        </w:rPr>
      </w:pPr>
      <w:r>
        <w:rPr>
          <w:b/>
          <w:bCs/>
          <w:sz w:val="28"/>
          <w:szCs w:val="28"/>
          <w:u w:val="single"/>
          <w:rtl/>
        </w:rPr>
        <w:br w:type="page"/>
      </w:r>
      <w:r>
        <w:rPr>
          <w:b/>
          <w:bCs/>
          <w:sz w:val="28"/>
          <w:szCs w:val="28"/>
          <w:u w:val="single"/>
          <w:rtl/>
        </w:rPr>
        <w:lastRenderedPageBreak/>
        <w:t>תיאור הפרוייקט והיקפו</w:t>
      </w:r>
    </w:p>
    <w:p>
      <w:pPr>
        <w:widowControl w:val="0"/>
        <w:spacing w:line="300" w:lineRule="atLeast"/>
        <w:ind w:left="709"/>
        <w:rPr>
          <w:b/>
          <w:bCs/>
          <w:u w:val="single"/>
          <w:lang w:eastAsia="en-US"/>
        </w:rPr>
      </w:pPr>
    </w:p>
    <w:p>
      <w:pPr>
        <w:widowControl w:val="0"/>
        <w:numPr>
          <w:ilvl w:val="1"/>
          <w:numId w:val="9"/>
        </w:numPr>
        <w:spacing w:line="300" w:lineRule="atLeast"/>
        <w:rPr>
          <w:b/>
          <w:bCs/>
          <w:u w:val="single"/>
          <w:lang w:eastAsia="en-US"/>
        </w:rPr>
      </w:pPr>
      <w:r>
        <w:rPr>
          <w:b/>
          <w:bCs/>
          <w:u w:val="single"/>
          <w:rtl/>
          <w:lang w:eastAsia="en-US"/>
        </w:rPr>
        <w:t>רקע</w:t>
      </w:r>
    </w:p>
    <w:p>
      <w:pPr>
        <w:widowControl w:val="0"/>
        <w:spacing w:line="300" w:lineRule="atLeast"/>
        <w:rPr>
          <w:b/>
          <w:bCs/>
          <w:u w:val="single"/>
          <w:rtl/>
          <w:lang w:eastAsia="en-US"/>
        </w:rPr>
      </w:pPr>
    </w:p>
    <w:p>
      <w:pPr>
        <w:spacing w:line="280" w:lineRule="atLeast"/>
        <w:ind w:left="1418"/>
        <w:rPr>
          <w:rtl/>
          <w:lang w:eastAsia="en-US"/>
        </w:rPr>
      </w:pPr>
      <w:bookmarkStart w:id="11" w:name="_Hlk172548806"/>
      <w:bookmarkStart w:id="12" w:name="_Hlk165449068"/>
      <w:r>
        <w:rPr>
          <w:rFonts w:hint="cs"/>
          <w:rtl/>
          <w:lang w:eastAsia="en-US"/>
        </w:rPr>
        <w:t xml:space="preserve">האגף לתלמידים מחוננים ומצטיינים מפעיל פעילויות העשרה תוספתיות שונות ומגוונות לקידום ילדים ובני נוער מחוננים ומצטיינים בתחומי דעת שונים (להלן: "הפעילות"). </w:t>
      </w:r>
    </w:p>
    <w:p>
      <w:pPr>
        <w:spacing w:line="280" w:lineRule="atLeast"/>
        <w:ind w:left="1418"/>
        <w:rPr>
          <w:rtl/>
          <w:lang w:eastAsia="en-US"/>
        </w:rPr>
      </w:pPr>
    </w:p>
    <w:p>
      <w:pPr>
        <w:spacing w:line="280" w:lineRule="atLeast"/>
        <w:ind w:left="1418"/>
        <w:rPr>
          <w:rtl/>
          <w:lang w:eastAsia="en-US"/>
        </w:rPr>
      </w:pPr>
    </w:p>
    <w:p>
      <w:pPr>
        <w:spacing w:line="280" w:lineRule="atLeast"/>
        <w:ind w:left="1418"/>
        <w:rPr>
          <w:sz w:val="26"/>
          <w:rtl/>
          <w:lang w:eastAsia="en-US"/>
        </w:rPr>
      </w:pPr>
      <w:r>
        <w:rPr>
          <w:rFonts w:hint="cs"/>
          <w:rtl/>
          <w:lang w:eastAsia="en-US"/>
        </w:rPr>
        <w:t xml:space="preserve">במסגרת פרויקט זה תתבצע הפעילות במוסדות להשכלה גבוהה העוסקים במחקר, בהיותם בחזית המחקר בתחומי דעת השונים ובעלי אמצעי מחקר והתנסות מתקדמים לצד סגלי הוראה מיומנים ומעודכנים. </w:t>
      </w:r>
    </w:p>
    <w:bookmarkEnd w:id="11"/>
    <w:p>
      <w:pPr>
        <w:widowControl w:val="0"/>
        <w:spacing w:line="300" w:lineRule="atLeast"/>
        <w:ind w:left="709"/>
        <w:rPr>
          <w:b/>
          <w:bCs/>
          <w:u w:val="single"/>
          <w:rtl/>
          <w:lang w:eastAsia="en-US"/>
        </w:rPr>
      </w:pPr>
    </w:p>
    <w:p>
      <w:pPr>
        <w:numPr>
          <w:ilvl w:val="1"/>
          <w:numId w:val="9"/>
        </w:numPr>
        <w:spacing w:line="280" w:lineRule="atLeast"/>
        <w:rPr>
          <w:sz w:val="26"/>
          <w:rtl/>
          <w:lang w:eastAsia="en-US"/>
        </w:rPr>
      </w:pPr>
      <w:r>
        <w:rPr>
          <w:rFonts w:hint="cs"/>
          <w:b/>
          <w:bCs/>
          <w:sz w:val="26"/>
          <w:u w:val="single"/>
          <w:rtl/>
          <w:lang w:eastAsia="en-US"/>
        </w:rPr>
        <w:t>מטרות הפרויקט</w:t>
      </w:r>
    </w:p>
    <w:p>
      <w:pPr>
        <w:spacing w:line="280" w:lineRule="atLeast"/>
        <w:rPr>
          <w:rtl/>
          <w:lang w:eastAsia="en-US"/>
        </w:rPr>
      </w:pPr>
    </w:p>
    <w:p>
      <w:pPr>
        <w:spacing w:line="280" w:lineRule="atLeast"/>
        <w:ind w:left="1418"/>
        <w:rPr>
          <w:rtl/>
          <w:lang w:eastAsia="en-US"/>
        </w:rPr>
      </w:pPr>
      <w:r>
        <w:rPr>
          <w:rFonts w:hint="cs"/>
          <w:rtl/>
          <w:lang w:eastAsia="en-US"/>
        </w:rPr>
        <w:t>הפרויקט מיועד להשיג מטרות שונות ובהן:</w:t>
      </w:r>
    </w:p>
    <w:p>
      <w:pPr>
        <w:spacing w:line="280" w:lineRule="atLeast"/>
        <w:ind w:left="1418"/>
        <w:rPr>
          <w:rtl/>
          <w:lang w:eastAsia="en-US"/>
        </w:rPr>
      </w:pPr>
    </w:p>
    <w:p>
      <w:pPr>
        <w:numPr>
          <w:ilvl w:val="0"/>
          <w:numId w:val="21"/>
        </w:numPr>
        <w:tabs>
          <w:tab w:val="clear" w:pos="1778"/>
          <w:tab w:val="num" w:pos="1984"/>
        </w:tabs>
        <w:spacing w:line="280" w:lineRule="atLeast"/>
        <w:ind w:left="1984" w:right="0" w:hanging="566"/>
        <w:rPr>
          <w:rtl/>
          <w:lang w:eastAsia="en-US"/>
        </w:rPr>
      </w:pPr>
      <w:r>
        <w:rPr>
          <w:rFonts w:hint="cs"/>
          <w:rtl/>
          <w:lang w:eastAsia="en-US"/>
        </w:rPr>
        <w:t>להענות לצרכים הפדגוגיים הייחודים של תלמידים מחוננים, המעוניינים להרחיב את ידיעותיהם בתחומי תוכן מתקדמים ולהתמודד עם אתגרים אינטלקטואליים ולטפח את החשיבה ואת מיומנויות החקר.</w:t>
      </w:r>
    </w:p>
    <w:p>
      <w:pPr>
        <w:spacing w:line="280" w:lineRule="atLeast"/>
        <w:ind w:left="1418"/>
        <w:rPr>
          <w:lang w:eastAsia="en-US"/>
        </w:rPr>
      </w:pPr>
    </w:p>
    <w:p>
      <w:pPr>
        <w:numPr>
          <w:ilvl w:val="0"/>
          <w:numId w:val="21"/>
        </w:numPr>
        <w:tabs>
          <w:tab w:val="clear" w:pos="1778"/>
          <w:tab w:val="num" w:pos="1984"/>
        </w:tabs>
        <w:spacing w:line="280" w:lineRule="atLeast"/>
        <w:ind w:left="1984" w:right="0" w:hanging="566"/>
        <w:rPr>
          <w:rtl/>
          <w:lang w:eastAsia="en-US"/>
        </w:rPr>
      </w:pPr>
      <w:r>
        <w:rPr>
          <w:rFonts w:hint="cs"/>
          <w:rtl/>
          <w:lang w:eastAsia="en-US"/>
        </w:rPr>
        <w:t>לחשוף תלמידים מחוננים לנושאים בתחומי דעת שונים שאינם נכללים בתוכנית הלימודים של בית הספר ובתכנית ההעשרה של הכיתות הייחודיות למחוננים.</w:t>
      </w:r>
    </w:p>
    <w:p>
      <w:pPr>
        <w:spacing w:line="280" w:lineRule="atLeast"/>
        <w:ind w:left="1418"/>
        <w:rPr>
          <w:lang w:eastAsia="en-US"/>
        </w:rPr>
      </w:pPr>
    </w:p>
    <w:p>
      <w:pPr>
        <w:numPr>
          <w:ilvl w:val="0"/>
          <w:numId w:val="21"/>
        </w:numPr>
        <w:tabs>
          <w:tab w:val="clear" w:pos="1778"/>
          <w:tab w:val="num" w:pos="1984"/>
        </w:tabs>
        <w:spacing w:line="280" w:lineRule="atLeast"/>
        <w:ind w:left="1984" w:right="0" w:hanging="566"/>
        <w:rPr>
          <w:lang w:eastAsia="en-US"/>
        </w:rPr>
      </w:pPr>
      <w:r>
        <w:rPr>
          <w:rFonts w:hint="cs"/>
          <w:rtl/>
          <w:lang w:eastAsia="en-US"/>
        </w:rPr>
        <w:t>לקיים מפגשים של תלמידים מחוננים הלומדים בכיתות ייחודיות למחוננים בבית ספר עם מומחים מהאקדמיה, בקמפוס אוניברסיטאי ותוך חשיפה לתשתיות אקדמיות מובילות.</w:t>
      </w:r>
    </w:p>
    <w:bookmarkEnd w:id="12"/>
    <w:p>
      <w:pPr>
        <w:spacing w:line="280" w:lineRule="atLeast"/>
        <w:rPr>
          <w:rtl/>
          <w:lang w:eastAsia="en-US"/>
        </w:rPr>
      </w:pPr>
    </w:p>
    <w:p>
      <w:pPr>
        <w:numPr>
          <w:ilvl w:val="1"/>
          <w:numId w:val="9"/>
        </w:numPr>
        <w:spacing w:line="280" w:lineRule="atLeast"/>
        <w:rPr>
          <w:b/>
          <w:bCs/>
          <w:sz w:val="26"/>
          <w:u w:val="single"/>
          <w:rtl/>
          <w:lang w:eastAsia="en-US"/>
        </w:rPr>
      </w:pPr>
      <w:r>
        <w:rPr>
          <w:rFonts w:hint="cs"/>
          <w:b/>
          <w:bCs/>
          <w:sz w:val="26"/>
          <w:u w:val="single"/>
          <w:rtl/>
          <w:lang w:eastAsia="en-US"/>
        </w:rPr>
        <w:t>אוכלוסיית היעד</w:t>
      </w:r>
    </w:p>
    <w:p>
      <w:pPr>
        <w:spacing w:line="280" w:lineRule="atLeast"/>
        <w:rPr>
          <w:rtl/>
          <w:lang w:eastAsia="en-US"/>
        </w:rPr>
      </w:pPr>
    </w:p>
    <w:p>
      <w:pPr>
        <w:spacing w:line="280" w:lineRule="atLeast"/>
        <w:ind w:left="1418"/>
        <w:rPr>
          <w:rtl/>
          <w:lang w:eastAsia="en-US"/>
        </w:rPr>
      </w:pPr>
      <w:bookmarkStart w:id="13" w:name="_Hlk165449323"/>
      <w:r>
        <w:rPr>
          <w:rFonts w:hint="cs"/>
          <w:rtl/>
          <w:lang w:eastAsia="en-US"/>
        </w:rPr>
        <w:t xml:space="preserve">הפרויקט מיועד לתת מענה אקדמי מחקרי לתלמידים הלומדים בכיתות מחוננים בכיתות </w:t>
      </w:r>
      <w:r>
        <w:rPr>
          <w:rFonts w:hint="cs"/>
          <w:b/>
          <w:bCs/>
          <w:rtl/>
          <w:lang w:eastAsia="en-US"/>
        </w:rPr>
        <w:t>ה</w:t>
      </w:r>
      <w:smartTag w:uri="urn:schemas-microsoft-com:office:smarttags" w:element="PersonName">
        <w:r>
          <w:rPr>
            <w:rFonts w:hint="cs"/>
            <w:b/>
            <w:bCs/>
            <w:rtl/>
            <w:lang w:eastAsia="en-US"/>
          </w:rPr>
          <w:t>'</w:t>
        </w:r>
      </w:smartTag>
      <w:r>
        <w:rPr>
          <w:rFonts w:hint="cs"/>
          <w:b/>
          <w:bCs/>
          <w:rtl/>
          <w:lang w:eastAsia="en-US"/>
        </w:rPr>
        <w:t xml:space="preserve"> עד יב' </w:t>
      </w:r>
      <w:r>
        <w:rPr>
          <w:rFonts w:hint="cs"/>
          <w:rtl/>
          <w:lang w:eastAsia="en-US"/>
        </w:rPr>
        <w:t>מטעם האגף</w:t>
      </w:r>
      <w:r>
        <w:rPr>
          <w:rFonts w:hint="cs"/>
          <w:b/>
          <w:bCs/>
          <w:rtl/>
          <w:lang w:eastAsia="en-US"/>
        </w:rPr>
        <w:t>.</w:t>
      </w:r>
      <w:r>
        <w:rPr>
          <w:rFonts w:hint="cs"/>
          <w:rtl/>
          <w:lang w:eastAsia="en-US"/>
        </w:rPr>
        <w:t xml:space="preserve"> </w:t>
      </w:r>
    </w:p>
    <w:bookmarkEnd w:id="13"/>
    <w:p>
      <w:pPr>
        <w:spacing w:line="280" w:lineRule="atLeast"/>
        <w:ind w:left="1418"/>
        <w:rPr>
          <w:rtl/>
          <w:lang w:eastAsia="en-US"/>
        </w:rPr>
      </w:pPr>
    </w:p>
    <w:p>
      <w:pPr>
        <w:spacing w:line="280" w:lineRule="atLeast"/>
        <w:ind w:left="1418"/>
        <w:rPr>
          <w:rtl/>
          <w:lang w:eastAsia="en-US"/>
        </w:rPr>
      </w:pPr>
      <w:r>
        <w:rPr>
          <w:rFonts w:hint="cs"/>
          <w:rtl/>
          <w:lang w:eastAsia="en-US"/>
        </w:rPr>
        <w:t>הספק יצור קשר עם בתי הספר בהם לומדים התלמידים, בהתאם להנחיות המשרד, בכפוף לרשימת בתי הספר המיועדים להשתתף בתוכניות מדי שנה.</w:t>
      </w:r>
    </w:p>
    <w:p>
      <w:pPr>
        <w:spacing w:line="280" w:lineRule="atLeast"/>
        <w:ind w:left="1418"/>
        <w:rPr>
          <w:rtl/>
          <w:lang w:eastAsia="en-US"/>
        </w:rPr>
      </w:pPr>
    </w:p>
    <w:p>
      <w:pPr>
        <w:spacing w:line="280" w:lineRule="atLeast"/>
        <w:ind w:left="1418"/>
        <w:rPr>
          <w:rtl/>
          <w:lang w:eastAsia="en-US"/>
        </w:rPr>
      </w:pPr>
      <w:r>
        <w:rPr>
          <w:rFonts w:hint="cs"/>
          <w:rtl/>
          <w:lang w:eastAsia="en-US"/>
        </w:rPr>
        <w:t xml:space="preserve">בהתאם לרשימת בתי הספר בהם מופעלות כתות מחוננים, ולקראת פתיחת שנת הלימודים, תתבצע פנייה לכל בתי הספר הללו ותוצג בפניהם תוכנית הפעילות המוצעת. </w:t>
      </w:r>
    </w:p>
    <w:p>
      <w:pPr>
        <w:spacing w:line="280" w:lineRule="atLeast"/>
        <w:ind w:left="1418"/>
        <w:rPr>
          <w:rtl/>
          <w:lang w:eastAsia="en-US"/>
        </w:rPr>
      </w:pPr>
      <w:r>
        <w:rPr>
          <w:rFonts w:hint="cs"/>
          <w:rtl/>
          <w:lang w:eastAsia="en-US"/>
        </w:rPr>
        <w:t xml:space="preserve">בתי הספר והרכזים יוכלו לבחור את הפעילויות הרצויות מתוך תכנית הפעילות המוצעת. </w:t>
      </w:r>
    </w:p>
    <w:p>
      <w:pPr>
        <w:spacing w:line="280" w:lineRule="atLeast"/>
        <w:ind w:left="1418"/>
        <w:rPr>
          <w:rtl/>
          <w:lang w:eastAsia="en-US"/>
        </w:rPr>
      </w:pPr>
    </w:p>
    <w:p>
      <w:pPr>
        <w:numPr>
          <w:ilvl w:val="1"/>
          <w:numId w:val="9"/>
        </w:numPr>
        <w:spacing w:line="280" w:lineRule="atLeast"/>
        <w:rPr>
          <w:b/>
          <w:bCs/>
          <w:sz w:val="26"/>
          <w:u w:val="single"/>
          <w:lang w:eastAsia="en-US"/>
        </w:rPr>
      </w:pPr>
      <w:r>
        <w:rPr>
          <w:rFonts w:hint="cs"/>
          <w:b/>
          <w:bCs/>
          <w:sz w:val="26"/>
          <w:u w:val="single"/>
          <w:rtl/>
          <w:lang w:eastAsia="en-US"/>
        </w:rPr>
        <w:t xml:space="preserve">מתכונות הפעילות </w:t>
      </w:r>
    </w:p>
    <w:p>
      <w:pPr>
        <w:spacing w:line="280" w:lineRule="atLeast"/>
        <w:rPr>
          <w:b/>
          <w:bCs/>
          <w:sz w:val="26"/>
          <w:u w:val="single"/>
          <w:rtl/>
          <w:lang w:eastAsia="en-US"/>
        </w:rPr>
      </w:pPr>
    </w:p>
    <w:p>
      <w:pPr>
        <w:numPr>
          <w:ilvl w:val="2"/>
          <w:numId w:val="9"/>
        </w:numPr>
        <w:spacing w:line="280" w:lineRule="atLeast"/>
        <w:rPr>
          <w:sz w:val="26"/>
          <w:lang w:eastAsia="en-US"/>
        </w:rPr>
      </w:pPr>
      <w:bookmarkStart w:id="14" w:name="_Hlk165449395"/>
      <w:r>
        <w:rPr>
          <w:rFonts w:hint="cs"/>
          <w:sz w:val="26"/>
          <w:rtl/>
          <w:lang w:eastAsia="en-US"/>
        </w:rPr>
        <w:t>על הספק לבצע את הפעילויות הבאות לתלמידים באזור בו זכה במסגרת מכרז זה.</w:t>
      </w:r>
    </w:p>
    <w:bookmarkEnd w:id="14"/>
    <w:p>
      <w:pPr>
        <w:spacing w:line="280" w:lineRule="atLeast"/>
        <w:ind w:left="2268"/>
        <w:rPr>
          <w:sz w:val="26"/>
          <w:lang w:eastAsia="en-US"/>
        </w:rPr>
      </w:pPr>
    </w:p>
    <w:p>
      <w:pPr>
        <w:numPr>
          <w:ilvl w:val="2"/>
          <w:numId w:val="9"/>
        </w:numPr>
        <w:spacing w:line="280" w:lineRule="atLeast"/>
        <w:rPr>
          <w:sz w:val="26"/>
          <w:lang w:eastAsia="en-US"/>
        </w:rPr>
      </w:pPr>
      <w:bookmarkStart w:id="15" w:name="_Hlk165449482"/>
      <w:r>
        <w:rPr>
          <w:rFonts w:hint="cs"/>
          <w:b/>
          <w:bCs/>
          <w:sz w:val="26"/>
          <w:u w:val="single"/>
          <w:rtl/>
          <w:lang w:eastAsia="en-US"/>
        </w:rPr>
        <w:t>ימי לימוד אקדמיים</w:t>
      </w:r>
    </w:p>
    <w:p>
      <w:pPr>
        <w:spacing w:line="280" w:lineRule="atLeast"/>
        <w:ind w:left="2268"/>
        <w:rPr>
          <w:sz w:val="26"/>
          <w:rtl/>
          <w:lang w:eastAsia="en-US"/>
        </w:rPr>
      </w:pPr>
    </w:p>
    <w:p>
      <w:pPr>
        <w:pStyle w:val="aff2"/>
        <w:numPr>
          <w:ilvl w:val="3"/>
          <w:numId w:val="9"/>
        </w:numPr>
        <w:rPr>
          <w:sz w:val="26"/>
          <w:lang w:eastAsia="en-US"/>
        </w:rPr>
      </w:pPr>
      <w:r>
        <w:rPr>
          <w:rFonts w:hint="cs"/>
          <w:sz w:val="26"/>
          <w:rtl/>
          <w:lang w:eastAsia="en-US"/>
        </w:rPr>
        <w:t xml:space="preserve">האגף </w:t>
      </w:r>
      <w:r>
        <w:rPr>
          <w:sz w:val="26"/>
          <w:rtl/>
          <w:lang w:eastAsia="en-US"/>
        </w:rPr>
        <w:t>ינחה את הספק בתחומי</w:t>
      </w:r>
      <w:r>
        <w:rPr>
          <w:rFonts w:hint="cs"/>
          <w:sz w:val="26"/>
          <w:rtl/>
          <w:lang w:eastAsia="en-US"/>
        </w:rPr>
        <w:t xml:space="preserve"> הדעת</w:t>
      </w:r>
      <w:r>
        <w:rPr>
          <w:sz w:val="26"/>
          <w:rtl/>
          <w:lang w:eastAsia="en-US"/>
        </w:rPr>
        <w:t xml:space="preserve"> בהם תעסוק התכנית השנתית.</w:t>
      </w:r>
    </w:p>
    <w:p>
      <w:pPr>
        <w:numPr>
          <w:ilvl w:val="3"/>
          <w:numId w:val="9"/>
        </w:numPr>
        <w:spacing w:line="280" w:lineRule="atLeast"/>
        <w:rPr>
          <w:sz w:val="26"/>
          <w:rtl/>
          <w:lang w:eastAsia="en-US"/>
        </w:rPr>
      </w:pPr>
      <w:r>
        <w:rPr>
          <w:rFonts w:hint="cs"/>
          <w:sz w:val="26"/>
          <w:rtl/>
          <w:lang w:eastAsia="en-US"/>
        </w:rPr>
        <w:t xml:space="preserve">הספק יארגן יום לימוד אקדמי שיורכב מסדרת הרצאות, בנושא אחד או יותר, סה"כ </w:t>
      </w:r>
      <w:r>
        <w:rPr>
          <w:rFonts w:hint="cs"/>
          <w:b/>
          <w:bCs/>
          <w:sz w:val="26"/>
          <w:rtl/>
          <w:lang w:eastAsia="en-US"/>
        </w:rPr>
        <w:t>4</w:t>
      </w:r>
      <w:r>
        <w:rPr>
          <w:rFonts w:hint="cs"/>
          <w:sz w:val="26"/>
          <w:rtl/>
          <w:lang w:eastAsia="en-US"/>
        </w:rPr>
        <w:t xml:space="preserve"> או </w:t>
      </w:r>
      <w:r>
        <w:rPr>
          <w:rFonts w:hint="cs"/>
          <w:b/>
          <w:bCs/>
          <w:sz w:val="26"/>
          <w:rtl/>
          <w:lang w:eastAsia="en-US"/>
        </w:rPr>
        <w:t>6</w:t>
      </w:r>
      <w:r>
        <w:rPr>
          <w:rFonts w:hint="cs"/>
          <w:sz w:val="26"/>
          <w:rtl/>
          <w:lang w:eastAsia="en-US"/>
        </w:rPr>
        <w:t xml:space="preserve"> שעות לימוד (בהתאם לגיל התלמידים כפי שיפורט להלן). </w:t>
      </w:r>
    </w:p>
    <w:bookmarkEnd w:id="15"/>
    <w:p>
      <w:pPr>
        <w:spacing w:line="280" w:lineRule="atLeast"/>
        <w:ind w:left="2268"/>
        <w:rPr>
          <w:sz w:val="26"/>
          <w:rtl/>
          <w:lang w:eastAsia="en-US"/>
        </w:rPr>
      </w:pPr>
    </w:p>
    <w:p>
      <w:pPr>
        <w:pStyle w:val="aff2"/>
        <w:rPr>
          <w:sz w:val="26"/>
          <w:rtl/>
          <w:lang w:eastAsia="en-US"/>
        </w:rPr>
      </w:pPr>
    </w:p>
    <w:p>
      <w:pPr>
        <w:numPr>
          <w:ilvl w:val="3"/>
          <w:numId w:val="9"/>
        </w:numPr>
        <w:spacing w:line="280" w:lineRule="atLeast"/>
        <w:textAlignment w:val="auto"/>
        <w:rPr>
          <w:sz w:val="26"/>
          <w:lang w:eastAsia="en-US"/>
        </w:rPr>
      </w:pPr>
      <w:r>
        <w:rPr>
          <w:rFonts w:hint="cs"/>
          <w:sz w:val="26"/>
          <w:rtl/>
          <w:lang w:eastAsia="en-US"/>
        </w:rPr>
        <w:lastRenderedPageBreak/>
        <w:t xml:space="preserve">הספק יבנה את התוכניות לימי הלימוד האקדמיים השנתית ויעביר להתייחסות ולאישור מראש של האגף, על פי תחומי ידע שונים ומגוונים כפי שהנוחו ע"י האגף, באמצעות הסגל האקדמי של הספק, המומחה בתחומי הידע הרלוונטיים בתיאום עם הגורם המתמחה בטיפוח נוער אצל הספק לצורך בחינת התאמת החומרים לאוכלוסיית היעד. </w:t>
      </w:r>
    </w:p>
    <w:p>
      <w:pPr>
        <w:spacing w:line="280" w:lineRule="atLeast"/>
        <w:ind w:left="2268"/>
        <w:rPr>
          <w:sz w:val="26"/>
          <w:rtl/>
          <w:lang w:eastAsia="en-US"/>
        </w:rPr>
      </w:pPr>
    </w:p>
    <w:p>
      <w:pPr>
        <w:numPr>
          <w:ilvl w:val="3"/>
          <w:numId w:val="9"/>
        </w:numPr>
        <w:spacing w:line="280" w:lineRule="atLeast"/>
        <w:rPr>
          <w:sz w:val="26"/>
          <w:lang w:eastAsia="en-US"/>
        </w:rPr>
      </w:pPr>
      <w:r>
        <w:rPr>
          <w:rFonts w:hint="cs"/>
          <w:sz w:val="26"/>
          <w:rtl/>
          <w:lang w:eastAsia="en-US"/>
        </w:rPr>
        <w:t xml:space="preserve">בית ספר רשאי לבחור עד </w:t>
      </w:r>
      <w:r>
        <w:rPr>
          <w:rFonts w:hint="cs"/>
          <w:b/>
          <w:bCs/>
          <w:sz w:val="26"/>
          <w:rtl/>
          <w:lang w:eastAsia="en-US"/>
        </w:rPr>
        <w:t>2</w:t>
      </w:r>
      <w:r>
        <w:rPr>
          <w:rFonts w:hint="cs"/>
          <w:sz w:val="26"/>
          <w:rtl/>
          <w:lang w:eastAsia="en-US"/>
        </w:rPr>
        <w:t xml:space="preserve"> ימי לימוד אקדמיים לכיתה לאורך השנה מתוך מגוון נושאים שונים (מהמחלקות/ מהפקולטות השונות) שיוצגו ע"י הספק ואושרו ע"י האגף בתכנית השנתית.</w:t>
      </w:r>
    </w:p>
    <w:p>
      <w:pPr>
        <w:spacing w:line="280" w:lineRule="atLeast"/>
        <w:ind w:left="2268"/>
        <w:rPr>
          <w:sz w:val="26"/>
          <w:rtl/>
          <w:lang w:eastAsia="en-US"/>
        </w:rPr>
      </w:pPr>
    </w:p>
    <w:p>
      <w:pPr>
        <w:numPr>
          <w:ilvl w:val="3"/>
          <w:numId w:val="9"/>
        </w:numPr>
        <w:spacing w:line="280" w:lineRule="atLeast"/>
        <w:textAlignment w:val="auto"/>
        <w:rPr>
          <w:color w:val="00B050"/>
          <w:sz w:val="26"/>
          <w:lang w:eastAsia="en-US"/>
        </w:rPr>
      </w:pPr>
      <w:r>
        <w:rPr>
          <w:rFonts w:hint="cs"/>
          <w:sz w:val="26"/>
          <w:rtl/>
          <w:lang w:eastAsia="en-US"/>
        </w:rPr>
        <w:t xml:space="preserve">לתלמידים מכיתות ה' </w:t>
      </w:r>
      <w:r>
        <w:rPr>
          <w:sz w:val="26"/>
          <w:rtl/>
          <w:lang w:eastAsia="en-US"/>
        </w:rPr>
        <w:t>–</w:t>
      </w:r>
      <w:r>
        <w:rPr>
          <w:rFonts w:hint="cs"/>
          <w:sz w:val="26"/>
          <w:rtl/>
          <w:lang w:eastAsia="en-US"/>
        </w:rPr>
        <w:t xml:space="preserve"> ט' יתואמו ימי לימוד אקדמיים בני 4 שעות מפגש(הרצאה אחת וסדנת מעבדה אחת).</w:t>
      </w:r>
      <w:r>
        <w:rPr>
          <w:sz w:val="26"/>
          <w:rtl/>
          <w:lang w:eastAsia="en-US"/>
        </w:rPr>
        <w:br/>
      </w:r>
    </w:p>
    <w:p>
      <w:pPr>
        <w:numPr>
          <w:ilvl w:val="3"/>
          <w:numId w:val="9"/>
        </w:numPr>
        <w:spacing w:line="280" w:lineRule="atLeast"/>
        <w:textAlignment w:val="auto"/>
        <w:rPr>
          <w:color w:val="00B050"/>
          <w:sz w:val="26"/>
          <w:rtl/>
          <w:lang w:eastAsia="en-US"/>
        </w:rPr>
      </w:pPr>
      <w:r>
        <w:rPr>
          <w:rFonts w:hint="cs"/>
          <w:sz w:val="26"/>
          <w:rtl/>
          <w:lang w:eastAsia="en-US"/>
        </w:rPr>
        <w:t xml:space="preserve">לתלמידים מכיתות י' </w:t>
      </w:r>
      <w:r>
        <w:rPr>
          <w:sz w:val="26"/>
          <w:rtl/>
          <w:lang w:eastAsia="en-US"/>
        </w:rPr>
        <w:t>–</w:t>
      </w:r>
      <w:r>
        <w:rPr>
          <w:rFonts w:hint="cs"/>
          <w:sz w:val="26"/>
          <w:rtl/>
          <w:lang w:eastAsia="en-US"/>
        </w:rPr>
        <w:t xml:space="preserve"> יב' יתואמו ימי לימוד אקדמיים בני 6 שעות מפגש (2 הרצאות + סדנת מעבדה אחת)</w:t>
      </w:r>
    </w:p>
    <w:p>
      <w:pPr>
        <w:spacing w:line="280" w:lineRule="atLeast"/>
        <w:rPr>
          <w:sz w:val="26"/>
          <w:rtl/>
          <w:lang w:eastAsia="en-US"/>
        </w:rPr>
      </w:pPr>
    </w:p>
    <w:p>
      <w:pPr>
        <w:numPr>
          <w:ilvl w:val="3"/>
          <w:numId w:val="9"/>
        </w:numPr>
        <w:tabs>
          <w:tab w:val="clear" w:pos="2835"/>
          <w:tab w:val="num" w:pos="2808"/>
        </w:tabs>
        <w:spacing w:line="280" w:lineRule="atLeast"/>
        <w:textAlignment w:val="auto"/>
        <w:rPr>
          <w:lang w:eastAsia="en-US"/>
        </w:rPr>
      </w:pPr>
      <w:r>
        <w:rPr>
          <w:rFonts w:hint="cs"/>
          <w:rtl/>
          <w:lang w:eastAsia="en-US"/>
        </w:rPr>
        <w:t>ימי הלימוד האקדמיים שיועברו לתלמידים, מועדם ותוכנם יתואמו עם צוות המורים מבית הספר.</w:t>
      </w:r>
    </w:p>
    <w:p>
      <w:pPr>
        <w:pStyle w:val="aff2"/>
        <w:rPr>
          <w:rtl/>
          <w:lang w:eastAsia="en-US"/>
        </w:rPr>
      </w:pPr>
    </w:p>
    <w:p>
      <w:pPr>
        <w:pStyle w:val="aff2"/>
        <w:numPr>
          <w:ilvl w:val="3"/>
          <w:numId w:val="9"/>
        </w:numPr>
        <w:rPr>
          <w:rtl/>
          <w:lang w:eastAsia="en-US"/>
        </w:rPr>
      </w:pPr>
      <w:r>
        <w:rPr>
          <w:rtl/>
          <w:lang w:eastAsia="en-US"/>
        </w:rPr>
        <w:t>כל קבוצת</w:t>
      </w:r>
      <w:r>
        <w:rPr>
          <w:rFonts w:hint="cs"/>
          <w:rtl/>
          <w:lang w:eastAsia="en-US"/>
        </w:rPr>
        <w:t xml:space="preserve"> יום לימוד</w:t>
      </w:r>
      <w:r>
        <w:rPr>
          <w:rtl/>
          <w:lang w:eastAsia="en-US"/>
        </w:rPr>
        <w:t xml:space="preserve"> תכיל לכל היותר </w:t>
      </w:r>
      <w:r>
        <w:rPr>
          <w:rFonts w:hint="cs"/>
          <w:rtl/>
          <w:lang w:eastAsia="en-US"/>
        </w:rPr>
        <w:t>עד 30</w:t>
      </w:r>
      <w:r>
        <w:rPr>
          <w:rtl/>
          <w:lang w:eastAsia="en-US"/>
        </w:rPr>
        <w:t xml:space="preserve"> תלמידים.</w:t>
      </w:r>
    </w:p>
    <w:p>
      <w:pPr>
        <w:spacing w:line="280" w:lineRule="atLeast"/>
        <w:ind w:left="2835"/>
        <w:textAlignment w:val="auto"/>
        <w:rPr>
          <w:lang w:eastAsia="en-US"/>
        </w:rPr>
      </w:pPr>
    </w:p>
    <w:p>
      <w:pPr>
        <w:spacing w:line="280" w:lineRule="atLeast"/>
        <w:rPr>
          <w:rtl/>
          <w:lang w:eastAsia="en-US"/>
        </w:rPr>
      </w:pPr>
    </w:p>
    <w:p>
      <w:pPr>
        <w:numPr>
          <w:ilvl w:val="2"/>
          <w:numId w:val="9"/>
        </w:numPr>
        <w:tabs>
          <w:tab w:val="clear" w:pos="2268"/>
          <w:tab w:val="num" w:pos="2125"/>
        </w:tabs>
        <w:spacing w:line="280" w:lineRule="atLeast"/>
        <w:ind w:left="2125"/>
        <w:rPr>
          <w:b/>
          <w:bCs/>
          <w:sz w:val="26"/>
          <w:u w:val="single"/>
          <w:lang w:eastAsia="en-US"/>
        </w:rPr>
      </w:pPr>
      <w:r>
        <w:rPr>
          <w:rFonts w:hint="cs"/>
          <w:b/>
          <w:bCs/>
          <w:sz w:val="26"/>
          <w:u w:val="single"/>
          <w:rtl/>
          <w:lang w:eastAsia="en-US"/>
        </w:rPr>
        <w:t xml:space="preserve">מפגשים מדעיים ארציים  </w:t>
      </w:r>
      <w:r>
        <w:rPr>
          <w:b/>
          <w:bCs/>
          <w:sz w:val="26"/>
          <w:u w:val="single"/>
          <w:rtl/>
          <w:lang w:eastAsia="en-US"/>
        </w:rPr>
        <w:t>–</w:t>
      </w:r>
      <w:r>
        <w:rPr>
          <w:rFonts w:hint="cs"/>
          <w:b/>
          <w:bCs/>
          <w:sz w:val="26"/>
          <w:u w:val="single"/>
          <w:rtl/>
          <w:lang w:eastAsia="en-US"/>
        </w:rPr>
        <w:t>ספק אזור מרכז בלבד</w:t>
      </w:r>
    </w:p>
    <w:p>
      <w:pPr>
        <w:spacing w:line="280" w:lineRule="atLeast"/>
        <w:ind w:left="2268"/>
        <w:rPr>
          <w:rtl/>
          <w:lang w:eastAsia="en-US"/>
        </w:rPr>
      </w:pPr>
    </w:p>
    <w:p>
      <w:pPr>
        <w:numPr>
          <w:ilvl w:val="3"/>
          <w:numId w:val="9"/>
        </w:numPr>
        <w:spacing w:line="280" w:lineRule="atLeast"/>
        <w:ind w:hanging="709"/>
        <w:textAlignment w:val="auto"/>
        <w:rPr>
          <w:sz w:val="26"/>
          <w:lang w:eastAsia="en-US"/>
        </w:rPr>
      </w:pPr>
      <w:bookmarkStart w:id="16" w:name="_Hlk165449558"/>
      <w:r>
        <w:rPr>
          <w:rFonts w:hint="cs"/>
          <w:sz w:val="26"/>
          <w:rtl/>
          <w:lang w:eastAsia="en-US"/>
        </w:rPr>
        <w:t>המפגשים המדעיים מהווים הזדמנות להרחבת ידע בתחומים שונים החושפים את התלמידים לחזית המדע בתחום נבחר ממוקד או רב-תחומי המשלב היבטים שונים כגון: היבטים פילוסופיים, היסטוריים ומדעיים.</w:t>
      </w:r>
    </w:p>
    <w:bookmarkEnd w:id="16"/>
    <w:p>
      <w:pPr>
        <w:spacing w:line="280" w:lineRule="atLeast"/>
        <w:rPr>
          <w:rtl/>
          <w:lang w:eastAsia="en-US"/>
        </w:rPr>
      </w:pPr>
    </w:p>
    <w:p>
      <w:pPr>
        <w:numPr>
          <w:ilvl w:val="3"/>
          <w:numId w:val="9"/>
        </w:numPr>
        <w:spacing w:line="280" w:lineRule="atLeast"/>
        <w:ind w:hanging="709"/>
        <w:textAlignment w:val="auto"/>
        <w:rPr>
          <w:lang w:eastAsia="en-US"/>
        </w:rPr>
      </w:pPr>
      <w:r>
        <w:rPr>
          <w:rFonts w:hint="cs"/>
          <w:sz w:val="26"/>
          <w:rtl/>
          <w:lang w:eastAsia="en-US"/>
        </w:rPr>
        <w:t>ה</w:t>
      </w:r>
      <w:r>
        <w:rPr>
          <w:rFonts w:hint="cs"/>
          <w:rtl/>
          <w:lang w:eastAsia="en-US"/>
        </w:rPr>
        <w:t>מפגשים יאפשרו חשיפה לימודית-חברתית בלתי אמצעית של תלמידים מחוננים מבתי ספר שונים, מאזורים שונים ובעלי רקעים שונים ויעודדו סקרנות, חשיבה רב תחומית מסתעפת וביקורתית.</w:t>
      </w:r>
    </w:p>
    <w:p>
      <w:pPr>
        <w:pStyle w:val="aff2"/>
        <w:spacing w:line="280" w:lineRule="atLeast"/>
        <w:rPr>
          <w:rtl/>
          <w:lang w:eastAsia="en-US"/>
        </w:rPr>
      </w:pPr>
    </w:p>
    <w:p>
      <w:pPr>
        <w:numPr>
          <w:ilvl w:val="3"/>
          <w:numId w:val="9"/>
        </w:numPr>
        <w:spacing w:line="280" w:lineRule="atLeast"/>
        <w:ind w:hanging="709"/>
        <w:textAlignment w:val="auto"/>
        <w:rPr>
          <w:lang w:eastAsia="en-US"/>
        </w:rPr>
      </w:pPr>
      <w:r>
        <w:rPr>
          <w:rFonts w:hint="cs"/>
          <w:sz w:val="26"/>
          <w:rtl/>
          <w:lang w:eastAsia="en-US"/>
        </w:rPr>
        <w:t>בכל</w:t>
      </w:r>
      <w:r>
        <w:rPr>
          <w:rFonts w:hint="cs"/>
          <w:rtl/>
          <w:lang w:eastAsia="en-US"/>
        </w:rPr>
        <w:t xml:space="preserve"> שנה יבצע הספק של אזור המרכז בלבד - עד </w:t>
      </w:r>
      <w:r>
        <w:rPr>
          <w:rFonts w:hint="cs"/>
          <w:b/>
          <w:bCs/>
          <w:rtl/>
          <w:lang w:eastAsia="en-US"/>
        </w:rPr>
        <w:t>3</w:t>
      </w:r>
      <w:r>
        <w:rPr>
          <w:rFonts w:hint="cs"/>
          <w:rtl/>
          <w:lang w:eastAsia="en-US"/>
        </w:rPr>
        <w:t xml:space="preserve"> מפגשים ארציים מדעיים בני </w:t>
      </w:r>
      <w:r>
        <w:rPr>
          <w:rFonts w:hint="cs"/>
          <w:b/>
          <w:bCs/>
          <w:rtl/>
          <w:lang w:eastAsia="en-US"/>
        </w:rPr>
        <w:t>6</w:t>
      </w:r>
      <w:r>
        <w:rPr>
          <w:rFonts w:hint="cs"/>
          <w:rtl/>
          <w:lang w:eastAsia="en-US"/>
        </w:rPr>
        <w:t xml:space="preserve"> שעות כל אחד. </w:t>
      </w:r>
    </w:p>
    <w:p>
      <w:pPr>
        <w:pStyle w:val="aff2"/>
        <w:rPr>
          <w:rtl/>
          <w:lang w:eastAsia="en-US"/>
        </w:rPr>
      </w:pPr>
    </w:p>
    <w:p>
      <w:pPr>
        <w:numPr>
          <w:ilvl w:val="3"/>
          <w:numId w:val="9"/>
        </w:numPr>
        <w:spacing w:line="280" w:lineRule="atLeast"/>
        <w:ind w:hanging="709"/>
        <w:textAlignment w:val="auto"/>
        <w:rPr>
          <w:lang w:eastAsia="en-US"/>
        </w:rPr>
      </w:pPr>
      <w:r>
        <w:rPr>
          <w:rFonts w:hint="cs"/>
          <w:rtl/>
          <w:lang w:eastAsia="en-US"/>
        </w:rPr>
        <w:t>אל המפגש הארצי יוזמנו תלמידי כיתות מחוננים מכל הארץ וללא קשר לאזור עליו אחראי הספק</w:t>
      </w:r>
      <w:r>
        <w:rPr>
          <w:lang w:eastAsia="en-US"/>
        </w:rPr>
        <w:t>:</w:t>
      </w:r>
    </w:p>
    <w:p>
      <w:pPr>
        <w:pStyle w:val="aff2"/>
        <w:spacing w:line="280" w:lineRule="atLeast"/>
        <w:rPr>
          <w:rtl/>
          <w:lang w:eastAsia="en-US"/>
        </w:rPr>
      </w:pPr>
    </w:p>
    <w:p>
      <w:pPr>
        <w:numPr>
          <w:ilvl w:val="4"/>
          <w:numId w:val="22"/>
        </w:numPr>
        <w:tabs>
          <w:tab w:val="clear" w:pos="3960"/>
          <w:tab w:val="num" w:pos="3402"/>
        </w:tabs>
        <w:spacing w:line="280" w:lineRule="atLeast"/>
        <w:rPr>
          <w:lang w:eastAsia="en-US"/>
        </w:rPr>
      </w:pPr>
      <w:r>
        <w:rPr>
          <w:rFonts w:hint="cs"/>
          <w:rtl/>
          <w:lang w:eastAsia="en-US"/>
        </w:rPr>
        <w:t xml:space="preserve">מפגש לתלמידים משכבת גיל אחת בחט"ב בהיקף של כ- </w:t>
      </w:r>
      <w:r>
        <w:rPr>
          <w:rFonts w:hint="cs"/>
          <w:b/>
          <w:bCs/>
          <w:rtl/>
          <w:lang w:eastAsia="en-US"/>
        </w:rPr>
        <w:t>400</w:t>
      </w:r>
      <w:r>
        <w:rPr>
          <w:rFonts w:hint="cs"/>
          <w:rtl/>
          <w:lang w:eastAsia="en-US"/>
        </w:rPr>
        <w:t xml:space="preserve"> תלמידים.</w:t>
      </w:r>
    </w:p>
    <w:p>
      <w:pPr>
        <w:spacing w:line="280" w:lineRule="atLeast"/>
        <w:ind w:left="3402"/>
        <w:rPr>
          <w:lang w:eastAsia="en-US"/>
        </w:rPr>
      </w:pPr>
    </w:p>
    <w:p>
      <w:pPr>
        <w:numPr>
          <w:ilvl w:val="4"/>
          <w:numId w:val="22"/>
        </w:numPr>
        <w:tabs>
          <w:tab w:val="clear" w:pos="3960"/>
          <w:tab w:val="num" w:pos="3402"/>
        </w:tabs>
        <w:spacing w:line="280" w:lineRule="atLeast"/>
        <w:rPr>
          <w:lang w:eastAsia="en-US"/>
        </w:rPr>
      </w:pPr>
      <w:r>
        <w:rPr>
          <w:rFonts w:hint="cs"/>
          <w:rtl/>
          <w:lang w:eastAsia="en-US"/>
        </w:rPr>
        <w:t xml:space="preserve">מפגש לתלמידים משכבת גיל אחת בחט"ע בהיקף של כ- </w:t>
      </w:r>
      <w:r>
        <w:rPr>
          <w:rFonts w:hint="cs"/>
          <w:b/>
          <w:bCs/>
          <w:rtl/>
          <w:lang w:eastAsia="en-US"/>
        </w:rPr>
        <w:t>400</w:t>
      </w:r>
      <w:r>
        <w:rPr>
          <w:rFonts w:hint="cs"/>
          <w:rtl/>
          <w:lang w:eastAsia="en-US"/>
        </w:rPr>
        <w:t xml:space="preserve"> תלמידים.</w:t>
      </w:r>
    </w:p>
    <w:p>
      <w:pPr>
        <w:spacing w:line="280" w:lineRule="atLeast"/>
        <w:ind w:left="3402"/>
        <w:rPr>
          <w:lang w:eastAsia="en-US"/>
        </w:rPr>
      </w:pPr>
    </w:p>
    <w:p>
      <w:pPr>
        <w:numPr>
          <w:ilvl w:val="4"/>
          <w:numId w:val="22"/>
        </w:numPr>
        <w:tabs>
          <w:tab w:val="clear" w:pos="3960"/>
          <w:tab w:val="num" w:pos="3402"/>
        </w:tabs>
        <w:spacing w:line="280" w:lineRule="atLeast"/>
        <w:rPr>
          <w:lang w:eastAsia="en-US"/>
        </w:rPr>
      </w:pPr>
      <w:r>
        <w:rPr>
          <w:rFonts w:hint="cs"/>
          <w:rtl/>
          <w:lang w:eastAsia="en-US"/>
        </w:rPr>
        <w:t xml:space="preserve">מפגש לתלמידים מכיתות מחוננים, שנושאו והרכב משתתפיו יקבע ע"י האגף למחוננים, בהיקף של כ- </w:t>
      </w:r>
      <w:r>
        <w:rPr>
          <w:rFonts w:hint="cs"/>
          <w:b/>
          <w:bCs/>
          <w:rtl/>
          <w:lang w:eastAsia="en-US"/>
        </w:rPr>
        <w:t>400</w:t>
      </w:r>
      <w:r>
        <w:rPr>
          <w:rFonts w:hint="cs"/>
          <w:rtl/>
          <w:lang w:eastAsia="en-US"/>
        </w:rPr>
        <w:t xml:space="preserve"> משתתפים. </w:t>
      </w:r>
    </w:p>
    <w:p>
      <w:pPr>
        <w:pStyle w:val="aff2"/>
        <w:rPr>
          <w:rtl/>
          <w:lang w:eastAsia="en-US"/>
        </w:rPr>
      </w:pPr>
    </w:p>
    <w:p>
      <w:pPr>
        <w:spacing w:line="280" w:lineRule="atLeast"/>
        <w:ind w:left="3402"/>
        <w:rPr>
          <w:rtl/>
          <w:lang w:eastAsia="en-US"/>
        </w:rPr>
      </w:pPr>
    </w:p>
    <w:p>
      <w:pPr>
        <w:numPr>
          <w:ilvl w:val="3"/>
          <w:numId w:val="9"/>
        </w:numPr>
        <w:spacing w:line="280" w:lineRule="atLeast"/>
        <w:ind w:hanging="709"/>
        <w:textAlignment w:val="auto"/>
        <w:rPr>
          <w:lang w:eastAsia="en-US"/>
        </w:rPr>
      </w:pPr>
      <w:r>
        <w:rPr>
          <w:rFonts w:hint="cs"/>
          <w:rtl/>
          <w:lang w:eastAsia="en-US"/>
        </w:rPr>
        <w:t>נושאי ותוכן המפגשים המדעיים יועברו לאישור האגף מראש.  המפגשים המדעיים לתלמידים יועברו ע"י מרצים מהסגל האקדמי של הספק, שיתודרכו להוראה הייעודית ע"י הסגל האקדמי של הספק.</w:t>
      </w:r>
    </w:p>
    <w:p>
      <w:pPr>
        <w:pStyle w:val="aff2"/>
        <w:rPr>
          <w:highlight w:val="yellow"/>
          <w:rtl/>
          <w:lang w:eastAsia="en-US"/>
        </w:rPr>
      </w:pPr>
    </w:p>
    <w:p>
      <w:pPr>
        <w:numPr>
          <w:ilvl w:val="3"/>
          <w:numId w:val="9"/>
        </w:numPr>
        <w:tabs>
          <w:tab w:val="num" w:pos="3402"/>
        </w:tabs>
        <w:spacing w:line="280" w:lineRule="atLeast"/>
        <w:ind w:hanging="709"/>
        <w:textAlignment w:val="auto"/>
        <w:rPr>
          <w:lang w:eastAsia="en-US"/>
        </w:rPr>
      </w:pPr>
      <w:r>
        <w:rPr>
          <w:rFonts w:hint="cs"/>
          <w:rtl/>
          <w:lang w:eastAsia="en-US"/>
        </w:rPr>
        <w:lastRenderedPageBreak/>
        <w:t xml:space="preserve"> האגף יהיה רשאי לשלב מרצים מטעמו ועל חשבונו במפגשים אלו, בתיאום מראש עם הספק ובהיקף של לא יותר מ </w:t>
      </w:r>
      <w:r>
        <w:rPr>
          <w:rFonts w:hint="cs"/>
          <w:b/>
          <w:bCs/>
          <w:rtl/>
          <w:lang w:eastAsia="en-US"/>
        </w:rPr>
        <w:t>2</w:t>
      </w:r>
      <w:r>
        <w:rPr>
          <w:rFonts w:hint="cs"/>
          <w:rtl/>
          <w:lang w:eastAsia="en-US"/>
        </w:rPr>
        <w:t xml:space="preserve"> שעות פעילות במהלך המפגש המתוכנן.</w:t>
      </w:r>
    </w:p>
    <w:p>
      <w:pPr>
        <w:spacing w:line="280" w:lineRule="atLeast"/>
        <w:rPr>
          <w:rtl/>
          <w:lang w:eastAsia="en-US"/>
        </w:rPr>
      </w:pPr>
    </w:p>
    <w:p>
      <w:pPr>
        <w:spacing w:line="280" w:lineRule="atLeast"/>
        <w:rPr>
          <w:rtl/>
          <w:lang w:eastAsia="en-US"/>
        </w:rPr>
      </w:pPr>
    </w:p>
    <w:p>
      <w:pPr>
        <w:spacing w:line="280" w:lineRule="atLeast"/>
        <w:rPr>
          <w:rtl/>
          <w:lang w:eastAsia="en-US"/>
        </w:rPr>
      </w:pPr>
    </w:p>
    <w:p>
      <w:pPr>
        <w:numPr>
          <w:ilvl w:val="2"/>
          <w:numId w:val="9"/>
        </w:numPr>
        <w:tabs>
          <w:tab w:val="clear" w:pos="2268"/>
          <w:tab w:val="num" w:pos="2125"/>
        </w:tabs>
        <w:spacing w:line="280" w:lineRule="atLeast"/>
        <w:ind w:left="2125"/>
        <w:rPr>
          <w:b/>
          <w:bCs/>
          <w:sz w:val="26"/>
          <w:u w:val="single"/>
          <w:lang w:eastAsia="en-US"/>
        </w:rPr>
      </w:pPr>
      <w:bookmarkStart w:id="17" w:name="_Hlk165449574"/>
      <w:r>
        <w:rPr>
          <w:rFonts w:hint="cs"/>
          <w:b/>
          <w:bCs/>
          <w:sz w:val="26"/>
          <w:u w:val="single"/>
          <w:rtl/>
          <w:lang w:eastAsia="en-US"/>
        </w:rPr>
        <w:t xml:space="preserve">קורסים מדעיים </w:t>
      </w:r>
    </w:p>
    <w:bookmarkEnd w:id="17"/>
    <w:p>
      <w:pPr>
        <w:spacing w:line="280" w:lineRule="atLeast"/>
        <w:ind w:left="2268"/>
        <w:rPr>
          <w:rtl/>
          <w:lang w:eastAsia="en-US"/>
        </w:rPr>
      </w:pPr>
    </w:p>
    <w:p>
      <w:pPr>
        <w:spacing w:line="280" w:lineRule="atLeast"/>
        <w:ind w:left="2126"/>
        <w:rPr>
          <w:rtl/>
          <w:lang w:eastAsia="en-US"/>
        </w:rPr>
      </w:pPr>
      <w:bookmarkStart w:id="18" w:name="_Hlk165449590"/>
      <w:r>
        <w:rPr>
          <w:rFonts w:hint="cs"/>
          <w:rtl/>
          <w:lang w:eastAsia="en-US"/>
        </w:rPr>
        <w:t xml:space="preserve">קורס מדעי הינו </w:t>
      </w:r>
      <w:r>
        <w:rPr>
          <w:rFonts w:hint="cs"/>
          <w:b/>
          <w:bCs/>
          <w:u w:val="single"/>
          <w:rtl/>
          <w:lang w:eastAsia="en-US"/>
        </w:rPr>
        <w:t>סדרה</w:t>
      </w:r>
      <w:r>
        <w:rPr>
          <w:rFonts w:hint="cs"/>
          <w:rtl/>
          <w:lang w:eastAsia="en-US"/>
        </w:rPr>
        <w:t xml:space="preserve"> של מפגשי למידה המתקיימים במהלך סמסטר אחד והכוללים הרצאות, סדנאות ומעבדות בנושא מדעי-מחקרי מתקדם שעיקרו קיום למידה פעילה של התלמידים.</w:t>
      </w:r>
    </w:p>
    <w:bookmarkEnd w:id="18"/>
    <w:p>
      <w:pPr>
        <w:spacing w:line="280" w:lineRule="atLeast"/>
        <w:ind w:left="2268"/>
        <w:rPr>
          <w:rtl/>
          <w:lang w:eastAsia="en-US"/>
        </w:rPr>
      </w:pPr>
    </w:p>
    <w:p>
      <w:pPr>
        <w:numPr>
          <w:ilvl w:val="3"/>
          <w:numId w:val="9"/>
        </w:numPr>
        <w:spacing w:line="280" w:lineRule="atLeast"/>
        <w:ind w:hanging="709"/>
        <w:textAlignment w:val="auto"/>
        <w:rPr>
          <w:lang w:eastAsia="en-US"/>
        </w:rPr>
      </w:pPr>
      <w:r>
        <w:rPr>
          <w:rFonts w:hint="cs"/>
          <w:rtl/>
          <w:lang w:eastAsia="en-US"/>
        </w:rPr>
        <w:t>האגף ינחה את הספק בתחומים בהם יועסקו הקורסים המדעיים.</w:t>
      </w:r>
    </w:p>
    <w:p>
      <w:pPr>
        <w:spacing w:line="280" w:lineRule="atLeast"/>
        <w:ind w:left="2835"/>
        <w:textAlignment w:val="auto"/>
        <w:rPr>
          <w:lang w:eastAsia="en-US"/>
        </w:rPr>
      </w:pPr>
    </w:p>
    <w:p>
      <w:pPr>
        <w:numPr>
          <w:ilvl w:val="3"/>
          <w:numId w:val="9"/>
        </w:numPr>
        <w:spacing w:line="280" w:lineRule="atLeast"/>
        <w:ind w:hanging="709"/>
        <w:textAlignment w:val="auto"/>
        <w:rPr>
          <w:lang w:eastAsia="en-US"/>
        </w:rPr>
      </w:pPr>
      <w:r>
        <w:rPr>
          <w:rFonts w:hint="cs"/>
          <w:rtl/>
          <w:lang w:eastAsia="en-US"/>
        </w:rPr>
        <w:t>הספק יכין תכנית שנתית הכוללת את תחומי הקורסים המדעיים ותוכנם, התכנית תועבר מראש לאישור האגף.</w:t>
      </w:r>
    </w:p>
    <w:p>
      <w:pPr>
        <w:spacing w:line="280" w:lineRule="atLeast"/>
        <w:textAlignment w:val="auto"/>
        <w:rPr>
          <w:rtl/>
          <w:lang w:eastAsia="en-US"/>
        </w:rPr>
      </w:pPr>
    </w:p>
    <w:p>
      <w:pPr>
        <w:numPr>
          <w:ilvl w:val="3"/>
          <w:numId w:val="9"/>
        </w:numPr>
        <w:spacing w:line="280" w:lineRule="atLeast"/>
        <w:ind w:hanging="709"/>
        <w:textAlignment w:val="auto"/>
        <w:rPr>
          <w:rtl/>
          <w:lang w:eastAsia="en-US"/>
        </w:rPr>
      </w:pPr>
      <w:r>
        <w:rPr>
          <w:rFonts w:hint="cs"/>
          <w:sz w:val="26"/>
          <w:rtl/>
          <w:lang w:eastAsia="en-US"/>
        </w:rPr>
        <w:t>קורסים</w:t>
      </w:r>
      <w:r>
        <w:rPr>
          <w:rFonts w:hint="cs"/>
          <w:rtl/>
          <w:lang w:eastAsia="en-US"/>
        </w:rPr>
        <w:t xml:space="preserve"> מדעיים אלה ייעודים מופעלים עבור כיתות מחוננים בחט"ב ובחט"ע (ט'-י"ב), הקורס יועבר לאותה כיתה בלבד (ללא צירוף לכיתת סטודנטים קיימת) </w:t>
      </w:r>
    </w:p>
    <w:p>
      <w:pPr>
        <w:spacing w:line="280" w:lineRule="atLeast"/>
        <w:ind w:left="2808"/>
        <w:rPr>
          <w:lang w:eastAsia="en-US"/>
        </w:rPr>
      </w:pPr>
    </w:p>
    <w:p>
      <w:pPr>
        <w:pStyle w:val="aff2"/>
        <w:numPr>
          <w:ilvl w:val="3"/>
          <w:numId w:val="9"/>
        </w:numPr>
        <w:rPr>
          <w:lang w:eastAsia="en-US"/>
        </w:rPr>
      </w:pPr>
      <w:r>
        <w:rPr>
          <w:rtl/>
          <w:lang w:eastAsia="en-US"/>
        </w:rPr>
        <w:t>כל קבוצת קורס תכיל לכל היותר עד_</w:t>
      </w:r>
      <w:r>
        <w:rPr>
          <w:rFonts w:hint="cs"/>
          <w:rtl/>
          <w:lang w:eastAsia="en-US"/>
        </w:rPr>
        <w:t xml:space="preserve">30 </w:t>
      </w:r>
      <w:r>
        <w:rPr>
          <w:rtl/>
          <w:lang w:eastAsia="en-US"/>
        </w:rPr>
        <w:t xml:space="preserve"> תלמידים.</w:t>
      </w:r>
    </w:p>
    <w:p>
      <w:pPr>
        <w:pStyle w:val="aff2"/>
        <w:rPr>
          <w:rtl/>
          <w:lang w:eastAsia="en-US"/>
        </w:rPr>
      </w:pPr>
    </w:p>
    <w:p>
      <w:pPr>
        <w:numPr>
          <w:ilvl w:val="3"/>
          <w:numId w:val="9"/>
        </w:numPr>
        <w:spacing w:line="280" w:lineRule="atLeast"/>
        <w:ind w:hanging="709"/>
        <w:textAlignment w:val="auto"/>
        <w:rPr>
          <w:lang w:eastAsia="en-US"/>
        </w:rPr>
      </w:pPr>
      <w:r>
        <w:rPr>
          <w:rtl/>
          <w:lang w:eastAsia="en-US"/>
        </w:rPr>
        <w:t>בית ספר רשאי לבחור קורס מדעי לכיתה אחת בבית ספרו בחט"ב / חט"ע, המשרד ישקול את בקשתו</w:t>
      </w:r>
      <w:r>
        <w:rPr>
          <w:rFonts w:hint="cs"/>
          <w:rtl/>
          <w:lang w:eastAsia="en-US"/>
        </w:rPr>
        <w:t xml:space="preserve"> יחד עם בקשות בתי ספר אחרים. </w:t>
      </w:r>
    </w:p>
    <w:p>
      <w:pPr>
        <w:rPr>
          <w:rtl/>
          <w:lang w:eastAsia="en-US"/>
        </w:rPr>
      </w:pPr>
    </w:p>
    <w:p>
      <w:pPr>
        <w:spacing w:line="280" w:lineRule="atLeast"/>
        <w:ind w:left="2835"/>
        <w:textAlignment w:val="auto"/>
        <w:rPr>
          <w:lang w:eastAsia="en-US"/>
        </w:rPr>
      </w:pPr>
      <w:r>
        <w:rPr>
          <w:rFonts w:hint="cs"/>
          <w:rtl/>
          <w:lang w:eastAsia="en-US"/>
        </w:rPr>
        <w:t>במסגרת שיקול הדעת, המשרד שומר לעצמו את הזכות לקחת בחשבון את הבחירה בקורסים מדעיים שנבחרו ע"י בית הספר בעבר ובבתי ספר שטרם ממישו בחירה זו.</w:t>
      </w:r>
    </w:p>
    <w:p>
      <w:pPr>
        <w:pStyle w:val="aff2"/>
        <w:rPr>
          <w:rtl/>
          <w:lang w:eastAsia="en-US"/>
        </w:rPr>
      </w:pPr>
    </w:p>
    <w:p>
      <w:pPr>
        <w:numPr>
          <w:ilvl w:val="3"/>
          <w:numId w:val="9"/>
        </w:numPr>
        <w:spacing w:line="280" w:lineRule="atLeast"/>
        <w:ind w:hanging="709"/>
        <w:textAlignment w:val="auto"/>
        <w:rPr>
          <w:lang w:eastAsia="en-US"/>
        </w:rPr>
      </w:pPr>
      <w:r>
        <w:rPr>
          <w:rFonts w:hint="cs"/>
          <w:rtl/>
          <w:lang w:eastAsia="en-US"/>
        </w:rPr>
        <w:t xml:space="preserve">כל </w:t>
      </w:r>
      <w:r>
        <w:rPr>
          <w:rtl/>
          <w:lang w:eastAsia="en-US"/>
        </w:rPr>
        <w:t xml:space="preserve">קורס </w:t>
      </w:r>
      <w:r>
        <w:rPr>
          <w:rFonts w:hint="cs"/>
          <w:rtl/>
          <w:lang w:eastAsia="en-US"/>
        </w:rPr>
        <w:t>מדעי י</w:t>
      </w:r>
      <w:r>
        <w:rPr>
          <w:rtl/>
          <w:lang w:eastAsia="en-US"/>
        </w:rPr>
        <w:t>עס</w:t>
      </w:r>
      <w:r>
        <w:rPr>
          <w:rFonts w:hint="cs"/>
          <w:rtl/>
          <w:lang w:eastAsia="en-US"/>
        </w:rPr>
        <w:t>ו</w:t>
      </w:r>
      <w:r>
        <w:rPr>
          <w:rtl/>
          <w:lang w:eastAsia="en-US"/>
        </w:rPr>
        <w:t>ק בנושא אחד או שניים לכל היותר</w:t>
      </w:r>
      <w:r>
        <w:rPr>
          <w:rFonts w:hint="cs"/>
          <w:rtl/>
          <w:lang w:eastAsia="en-US"/>
        </w:rPr>
        <w:t>. באפשרות בית הספר לבחור  את הנושאים הרלוונטיים לאותה כיתה, המעניינים אותם ולהתעמק בלימודיה</w:t>
      </w:r>
      <w:r>
        <w:rPr>
          <w:rFonts w:hint="eastAsia"/>
          <w:rtl/>
          <w:lang w:eastAsia="en-US"/>
        </w:rPr>
        <w:t>ם</w:t>
      </w:r>
      <w:r>
        <w:rPr>
          <w:rFonts w:hint="cs"/>
          <w:rtl/>
          <w:lang w:eastAsia="en-US"/>
        </w:rPr>
        <w:t xml:space="preserve"> במהלך הקורס. </w:t>
      </w:r>
    </w:p>
    <w:p>
      <w:pPr>
        <w:numPr>
          <w:ilvl w:val="3"/>
          <w:numId w:val="9"/>
        </w:numPr>
        <w:spacing w:line="280" w:lineRule="atLeast"/>
        <w:ind w:hanging="709"/>
        <w:textAlignment w:val="auto"/>
        <w:rPr>
          <w:lang w:eastAsia="en-US"/>
        </w:rPr>
      </w:pPr>
      <w:r>
        <w:rPr>
          <w:rFonts w:hint="cs"/>
          <w:rtl/>
          <w:lang w:eastAsia="en-US"/>
        </w:rPr>
        <w:t xml:space="preserve">היקפו של הקורס המדעי </w:t>
      </w:r>
      <w:r>
        <w:rPr>
          <w:rFonts w:hint="cs"/>
          <w:b/>
          <w:bCs/>
          <w:rtl/>
          <w:lang w:eastAsia="en-US"/>
        </w:rPr>
        <w:t>24</w:t>
      </w:r>
      <w:r>
        <w:rPr>
          <w:rFonts w:hint="cs"/>
          <w:rtl/>
          <w:lang w:eastAsia="en-US"/>
        </w:rPr>
        <w:t xml:space="preserve"> שעות לימוד המחולקות על פני ארבעה מפגשים בני 6 שעות כל אחד (בכל מפגש</w:t>
      </w:r>
      <w:r>
        <w:rPr>
          <w:rFonts w:hint="cs"/>
          <w:b/>
          <w:bCs/>
          <w:rtl/>
          <w:lang w:eastAsia="en-US"/>
        </w:rPr>
        <w:t xml:space="preserve"> 3</w:t>
      </w:r>
      <w:r>
        <w:rPr>
          <w:rFonts w:hint="cs"/>
          <w:rtl/>
          <w:lang w:eastAsia="en-US"/>
        </w:rPr>
        <w:t xml:space="preserve"> פעילויות)</w:t>
      </w:r>
    </w:p>
    <w:p>
      <w:pPr>
        <w:spacing w:line="280" w:lineRule="atLeast"/>
        <w:rPr>
          <w:rtl/>
          <w:lang w:eastAsia="en-US"/>
        </w:rPr>
      </w:pPr>
    </w:p>
    <w:p>
      <w:pPr>
        <w:numPr>
          <w:ilvl w:val="3"/>
          <w:numId w:val="9"/>
        </w:numPr>
        <w:spacing w:line="280" w:lineRule="atLeast"/>
        <w:ind w:hanging="709"/>
        <w:textAlignment w:val="auto"/>
        <w:rPr>
          <w:lang w:eastAsia="en-US"/>
        </w:rPr>
      </w:pPr>
      <w:r>
        <w:rPr>
          <w:rFonts w:hint="cs"/>
          <w:sz w:val="26"/>
          <w:rtl/>
          <w:lang w:eastAsia="en-US"/>
        </w:rPr>
        <w:t>הקורסים</w:t>
      </w:r>
      <w:r>
        <w:rPr>
          <w:rFonts w:hint="cs"/>
          <w:rtl/>
          <w:lang w:eastAsia="en-US"/>
        </w:rPr>
        <w:t xml:space="preserve"> יועברו באקדמיה ע"י מרצים בעלי תואר שני ומעלה ומהסגל האקדמי של המוסד. רשימת המרצים תועבר לאישר האגף מראש יחד עם אישור התכנית.</w:t>
      </w:r>
    </w:p>
    <w:p>
      <w:pPr>
        <w:pStyle w:val="aff2"/>
        <w:rPr>
          <w:rtl/>
          <w:lang w:eastAsia="en-US"/>
        </w:rPr>
      </w:pPr>
    </w:p>
    <w:p>
      <w:pPr>
        <w:spacing w:line="280" w:lineRule="atLeast"/>
        <w:ind w:left="2835"/>
        <w:textAlignment w:val="auto"/>
        <w:rPr>
          <w:lang w:eastAsia="en-US"/>
        </w:rPr>
      </w:pPr>
    </w:p>
    <w:p>
      <w:pPr>
        <w:numPr>
          <w:ilvl w:val="2"/>
          <w:numId w:val="9"/>
        </w:numPr>
        <w:tabs>
          <w:tab w:val="clear" w:pos="2268"/>
          <w:tab w:val="num" w:pos="2125"/>
        </w:tabs>
        <w:spacing w:line="280" w:lineRule="atLeast"/>
        <w:ind w:left="2125"/>
        <w:rPr>
          <w:b/>
          <w:bCs/>
          <w:sz w:val="26"/>
          <w:u w:val="single"/>
          <w:lang w:eastAsia="en-US"/>
        </w:rPr>
      </w:pPr>
      <w:bookmarkStart w:id="19" w:name="_Hlk165449760"/>
      <w:r>
        <w:rPr>
          <w:rFonts w:hint="cs"/>
          <w:b/>
          <w:bCs/>
          <w:sz w:val="26"/>
          <w:u w:val="single"/>
          <w:rtl/>
          <w:lang w:eastAsia="en-US"/>
        </w:rPr>
        <w:t>סמינרים אקדמיים מחקריים</w:t>
      </w:r>
    </w:p>
    <w:bookmarkEnd w:id="19"/>
    <w:p>
      <w:pPr>
        <w:spacing w:line="280" w:lineRule="atLeast"/>
        <w:ind w:left="2125"/>
        <w:rPr>
          <w:b/>
          <w:bCs/>
          <w:sz w:val="26"/>
          <w:u w:val="single"/>
          <w:lang w:eastAsia="en-US"/>
        </w:rPr>
      </w:pPr>
    </w:p>
    <w:p>
      <w:pPr>
        <w:numPr>
          <w:ilvl w:val="3"/>
          <w:numId w:val="9"/>
        </w:numPr>
        <w:spacing w:line="280" w:lineRule="atLeast"/>
        <w:ind w:hanging="709"/>
        <w:textAlignment w:val="auto"/>
        <w:rPr>
          <w:rtl/>
          <w:lang w:eastAsia="en-US"/>
        </w:rPr>
      </w:pPr>
      <w:bookmarkStart w:id="20" w:name="_Hlk165449810"/>
      <w:r>
        <w:rPr>
          <w:rFonts w:hint="cs"/>
          <w:rtl/>
          <w:lang w:eastAsia="en-US"/>
        </w:rPr>
        <w:t xml:space="preserve">יתקיימו סמינרים אקדמיים מחקריים בתחומי מדעי הרוח והחברה, מדעים מדוייקם, מדעי הטבע ובתחומי </w:t>
      </w:r>
      <w:r>
        <w:rPr>
          <w:rFonts w:hint="cs"/>
          <w:sz w:val="26"/>
          <w:rtl/>
          <w:lang w:eastAsia="en-US"/>
        </w:rPr>
        <w:t>מדעי</w:t>
      </w:r>
      <w:r>
        <w:rPr>
          <w:rFonts w:hint="cs"/>
          <w:rtl/>
          <w:lang w:eastAsia="en-US"/>
        </w:rPr>
        <w:t xml:space="preserve"> החיים.</w:t>
      </w:r>
    </w:p>
    <w:p>
      <w:pPr>
        <w:spacing w:line="280" w:lineRule="atLeast"/>
        <w:ind w:left="2125"/>
        <w:rPr>
          <w:rtl/>
          <w:lang w:eastAsia="en-US"/>
        </w:rPr>
      </w:pPr>
    </w:p>
    <w:p>
      <w:pPr>
        <w:numPr>
          <w:ilvl w:val="3"/>
          <w:numId w:val="9"/>
        </w:numPr>
        <w:spacing w:line="280" w:lineRule="atLeast"/>
        <w:ind w:hanging="709"/>
        <w:textAlignment w:val="auto"/>
        <w:rPr>
          <w:rtl/>
          <w:lang w:eastAsia="en-US"/>
        </w:rPr>
      </w:pPr>
      <w:r>
        <w:rPr>
          <w:rFonts w:hint="cs"/>
          <w:sz w:val="26"/>
          <w:rtl/>
          <w:lang w:eastAsia="en-US"/>
        </w:rPr>
        <w:t>הסמינרים</w:t>
      </w:r>
      <w:r>
        <w:rPr>
          <w:rFonts w:hint="cs"/>
          <w:rtl/>
          <w:lang w:eastAsia="en-US"/>
        </w:rPr>
        <w:t xml:space="preserve"> מאפשרים לתלמידים מחוננים בביה"ס התיכון (י'-י"ב) להעמיק את ידיעותיהם, תוך פיתוח יכולות החשיבה, הבנת עקרונות המחקר המדעי והקניית מיומנויות שיאפשרו להם לחקור נושאים שונים ומגוונים.</w:t>
      </w:r>
    </w:p>
    <w:bookmarkEnd w:id="20"/>
    <w:p>
      <w:pPr>
        <w:spacing w:line="280" w:lineRule="atLeast"/>
        <w:ind w:left="2126"/>
        <w:rPr>
          <w:lang w:eastAsia="en-US"/>
        </w:rPr>
      </w:pPr>
    </w:p>
    <w:p>
      <w:pPr>
        <w:numPr>
          <w:ilvl w:val="3"/>
          <w:numId w:val="9"/>
        </w:numPr>
        <w:spacing w:line="280" w:lineRule="atLeast"/>
        <w:ind w:hanging="709"/>
        <w:textAlignment w:val="auto"/>
        <w:rPr>
          <w:lang w:eastAsia="en-US"/>
        </w:rPr>
      </w:pPr>
      <w:r>
        <w:rPr>
          <w:rFonts w:hint="cs"/>
          <w:rtl/>
          <w:lang w:eastAsia="en-US"/>
        </w:rPr>
        <w:t xml:space="preserve">הסמינר מאפשר לבית הספר לבחור תחום בו הם מעוניינים למקד את התלמידים, לחקור ולפתח את ידיעותיהם בנושאים המעניינים אותם, תוך שיפור יכולות </w:t>
      </w:r>
      <w:r>
        <w:rPr>
          <w:rFonts w:hint="cs"/>
          <w:rtl/>
          <w:lang w:eastAsia="en-US"/>
        </w:rPr>
        <w:lastRenderedPageBreak/>
        <w:t xml:space="preserve">לעבודת </w:t>
      </w:r>
      <w:r>
        <w:rPr>
          <w:rFonts w:hint="cs"/>
          <w:sz w:val="26"/>
          <w:rtl/>
          <w:lang w:eastAsia="en-US"/>
        </w:rPr>
        <w:t>צוות</w:t>
      </w:r>
      <w:r>
        <w:rPr>
          <w:rFonts w:hint="cs"/>
          <w:rtl/>
          <w:lang w:eastAsia="en-US"/>
        </w:rPr>
        <w:t xml:space="preserve"> ושיתוף פעולה וכן הקניית כלים ומיומנויות להתמודדות עם תחומים שונים.</w:t>
      </w:r>
    </w:p>
    <w:p>
      <w:pPr>
        <w:pStyle w:val="aff2"/>
        <w:spacing w:line="280" w:lineRule="atLeast"/>
        <w:rPr>
          <w:rtl/>
          <w:lang w:eastAsia="en-US"/>
        </w:rPr>
      </w:pPr>
    </w:p>
    <w:p>
      <w:pPr>
        <w:numPr>
          <w:ilvl w:val="3"/>
          <w:numId w:val="9"/>
        </w:numPr>
        <w:spacing w:line="280" w:lineRule="atLeast"/>
        <w:ind w:hanging="709"/>
        <w:textAlignment w:val="auto"/>
        <w:rPr>
          <w:lang w:eastAsia="en-US"/>
        </w:rPr>
      </w:pPr>
      <w:r>
        <w:rPr>
          <w:rFonts w:hint="cs"/>
          <w:rtl/>
          <w:lang w:eastAsia="en-US"/>
        </w:rPr>
        <w:t xml:space="preserve">במסגרת ביצוע הסמינרים יותאמו התוכניות לבתי הספר השונים, בהתאם </w:t>
      </w:r>
      <w:r>
        <w:rPr>
          <w:rFonts w:hint="cs"/>
          <w:sz w:val="26"/>
          <w:rtl/>
          <w:lang w:eastAsia="en-US"/>
        </w:rPr>
        <w:t>לדרישות</w:t>
      </w:r>
      <w:r>
        <w:rPr>
          <w:rFonts w:hint="cs"/>
          <w:rtl/>
          <w:lang w:eastAsia="en-US"/>
        </w:rPr>
        <w:t xml:space="preserve"> המשרד ובתי הספר השונים.</w:t>
      </w:r>
    </w:p>
    <w:p>
      <w:pPr>
        <w:pStyle w:val="aff2"/>
        <w:rPr>
          <w:rtl/>
          <w:lang w:eastAsia="en-US"/>
        </w:rPr>
      </w:pPr>
    </w:p>
    <w:p>
      <w:pPr>
        <w:numPr>
          <w:ilvl w:val="3"/>
          <w:numId w:val="9"/>
        </w:numPr>
        <w:spacing w:line="280" w:lineRule="atLeast"/>
        <w:ind w:hanging="709"/>
        <w:textAlignment w:val="auto"/>
        <w:rPr>
          <w:lang w:eastAsia="en-US"/>
        </w:rPr>
      </w:pPr>
      <w:r>
        <w:rPr>
          <w:rFonts w:hint="cs"/>
          <w:rtl/>
          <w:lang w:eastAsia="en-US"/>
        </w:rPr>
        <w:t>הספק יכין תכנית שנתית המתייחסת לתחומי הסמינרים ולתוכן הסמינרים, התכנית תועבר לאישור האגף מראש. לתכנית תצורף רשימת המרצים הרלוונטים לפעילות, הרשימה תאושר מראש ע"י האגף.</w:t>
      </w:r>
    </w:p>
    <w:p>
      <w:pPr>
        <w:pStyle w:val="aff2"/>
        <w:spacing w:line="280" w:lineRule="atLeast"/>
        <w:rPr>
          <w:rtl/>
          <w:lang w:eastAsia="en-US"/>
        </w:rPr>
      </w:pPr>
    </w:p>
    <w:p>
      <w:pPr>
        <w:numPr>
          <w:ilvl w:val="3"/>
          <w:numId w:val="9"/>
        </w:numPr>
        <w:spacing w:line="280" w:lineRule="atLeast"/>
        <w:ind w:hanging="709"/>
        <w:textAlignment w:val="auto"/>
        <w:rPr>
          <w:lang w:eastAsia="en-US"/>
        </w:rPr>
      </w:pPr>
      <w:r>
        <w:rPr>
          <w:rFonts w:hint="cs"/>
          <w:rtl/>
          <w:lang w:eastAsia="en-US"/>
        </w:rPr>
        <w:t xml:space="preserve">הסמינר יתקיים סביב נושא רב תחומי רחב שנבחר ע"י בית הספר המאפשר חלוקה לתתי נושאים אותם יחקרו קבוצות קטנות של תלמידים במסגרת עבודה סדנאית בהדרכת </w:t>
      </w:r>
      <w:r>
        <w:rPr>
          <w:rFonts w:hint="cs"/>
          <w:sz w:val="26"/>
          <w:rtl/>
          <w:lang w:eastAsia="en-US"/>
        </w:rPr>
        <w:t>מומחים</w:t>
      </w:r>
      <w:r>
        <w:rPr>
          <w:rFonts w:hint="cs"/>
          <w:rtl/>
          <w:lang w:eastAsia="en-US"/>
        </w:rPr>
        <w:t xml:space="preserve">. </w:t>
      </w:r>
    </w:p>
    <w:p>
      <w:pPr>
        <w:pStyle w:val="aff2"/>
        <w:rPr>
          <w:rtl/>
          <w:lang w:eastAsia="en-US"/>
        </w:rPr>
      </w:pPr>
    </w:p>
    <w:p>
      <w:pPr>
        <w:numPr>
          <w:ilvl w:val="3"/>
          <w:numId w:val="9"/>
        </w:numPr>
        <w:spacing w:line="280" w:lineRule="atLeast"/>
        <w:ind w:hanging="709"/>
        <w:textAlignment w:val="auto"/>
        <w:rPr>
          <w:lang w:eastAsia="en-US"/>
        </w:rPr>
      </w:pPr>
      <w:r>
        <w:rPr>
          <w:rFonts w:hint="cs"/>
          <w:rtl/>
          <w:lang w:eastAsia="en-US"/>
        </w:rPr>
        <w:t xml:space="preserve">היקף הסמינר </w:t>
      </w:r>
      <w:r>
        <w:rPr>
          <w:rFonts w:hint="cs"/>
          <w:b/>
          <w:bCs/>
          <w:rtl/>
          <w:lang w:eastAsia="en-US"/>
        </w:rPr>
        <w:t>30</w:t>
      </w:r>
      <w:r>
        <w:rPr>
          <w:rFonts w:hint="cs"/>
          <w:rtl/>
          <w:lang w:eastAsia="en-US"/>
        </w:rPr>
        <w:t xml:space="preserve"> שעות המחולקות ל- </w:t>
      </w:r>
      <w:r>
        <w:rPr>
          <w:rFonts w:hint="cs"/>
          <w:b/>
          <w:bCs/>
          <w:rtl/>
          <w:lang w:eastAsia="en-US"/>
        </w:rPr>
        <w:t>5</w:t>
      </w:r>
      <w:r>
        <w:rPr>
          <w:rFonts w:hint="cs"/>
          <w:rtl/>
          <w:lang w:eastAsia="en-US"/>
        </w:rPr>
        <w:t xml:space="preserve"> מפגשים בני 6 שעות לאורך השנה. המפגשים יכללו הרצאות וכ- שעתיים בכל יום למידה יבוצעו פעילויות למידה בקבוצות למידה קטנות (עד כ-7 תלמידים משתתפים בקבוצה).</w:t>
      </w:r>
    </w:p>
    <w:p>
      <w:pPr>
        <w:spacing w:line="280" w:lineRule="atLeast"/>
        <w:ind w:left="2835"/>
        <w:rPr>
          <w:lang w:eastAsia="en-US"/>
        </w:rPr>
      </w:pPr>
    </w:p>
    <w:p>
      <w:pPr>
        <w:numPr>
          <w:ilvl w:val="3"/>
          <w:numId w:val="9"/>
        </w:numPr>
        <w:spacing w:line="280" w:lineRule="atLeast"/>
        <w:ind w:right="-142" w:hanging="709"/>
        <w:textAlignment w:val="auto"/>
        <w:rPr>
          <w:lang w:eastAsia="en-US"/>
        </w:rPr>
      </w:pPr>
      <w:r>
        <w:rPr>
          <w:rFonts w:hint="cs"/>
          <w:rtl/>
          <w:lang w:eastAsia="en-US"/>
        </w:rPr>
        <w:t xml:space="preserve">כל הפעילות מתקיימת במהלך שנת הלימודים במהלך שעות </w:t>
      </w:r>
      <w:r>
        <w:rPr>
          <w:rFonts w:hint="cs"/>
          <w:b/>
          <w:bCs/>
          <w:rtl/>
          <w:lang w:eastAsia="en-US"/>
        </w:rPr>
        <w:t>היום 09:00 - 16:00</w:t>
      </w:r>
      <w:r>
        <w:rPr>
          <w:rFonts w:hint="cs"/>
          <w:rtl/>
          <w:lang w:eastAsia="en-US"/>
        </w:rPr>
        <w:t xml:space="preserve"> הסעות לפעילויות השונות הינם באחריות בתיה"ס בלבד.</w:t>
      </w:r>
    </w:p>
    <w:p>
      <w:pPr>
        <w:pStyle w:val="aff2"/>
        <w:rPr>
          <w:rtl/>
          <w:lang w:eastAsia="en-US"/>
        </w:rPr>
      </w:pPr>
    </w:p>
    <w:p>
      <w:pPr>
        <w:numPr>
          <w:ilvl w:val="3"/>
          <w:numId w:val="9"/>
        </w:numPr>
        <w:spacing w:line="280" w:lineRule="atLeast"/>
        <w:ind w:right="-142" w:hanging="709"/>
        <w:textAlignment w:val="auto"/>
        <w:rPr>
          <w:rtl/>
          <w:lang w:eastAsia="en-US"/>
        </w:rPr>
      </w:pPr>
      <w:r>
        <w:rPr>
          <w:rFonts w:hint="cs"/>
          <w:rtl/>
          <w:lang w:eastAsia="en-US"/>
        </w:rPr>
        <w:t xml:space="preserve">תוכניות הסמינרים בתחומים השונים יותאמו לפעילות התלמידים המעוניינים. במידת </w:t>
      </w:r>
      <w:r>
        <w:rPr>
          <w:rFonts w:hint="cs"/>
          <w:sz w:val="26"/>
          <w:rtl/>
          <w:lang w:eastAsia="en-US"/>
        </w:rPr>
        <w:t>הצורך</w:t>
      </w:r>
      <w:r>
        <w:rPr>
          <w:rFonts w:hint="cs"/>
          <w:rtl/>
          <w:lang w:eastAsia="en-US"/>
        </w:rPr>
        <w:t>, יפותחו תוכניות בליווי יועצים מתחומי הדעת הרלוונטיים ובליווי פדגוגי.</w:t>
      </w:r>
    </w:p>
    <w:p>
      <w:pPr>
        <w:spacing w:line="280" w:lineRule="atLeast"/>
        <w:ind w:left="2835"/>
        <w:textAlignment w:val="auto"/>
        <w:rPr>
          <w:lang w:eastAsia="en-US"/>
        </w:rPr>
      </w:pPr>
    </w:p>
    <w:p>
      <w:pPr>
        <w:numPr>
          <w:ilvl w:val="3"/>
          <w:numId w:val="9"/>
        </w:numPr>
        <w:spacing w:line="280" w:lineRule="atLeast"/>
        <w:textAlignment w:val="auto"/>
        <w:rPr>
          <w:lang w:eastAsia="en-US"/>
        </w:rPr>
      </w:pPr>
      <w:r>
        <w:rPr>
          <w:rtl/>
          <w:lang w:eastAsia="en-US"/>
        </w:rPr>
        <w:t>בית ספר רשאי לבחור סמינר אקדמי לכיתה אחת בבית ספרו בחט"ע,  המשרד ישקול את בקשתו יחד עם בקשות בתי ספר אחרים.</w:t>
      </w:r>
    </w:p>
    <w:p>
      <w:pPr>
        <w:pStyle w:val="aff2"/>
        <w:rPr>
          <w:rtl/>
          <w:lang w:eastAsia="en-US"/>
        </w:rPr>
      </w:pPr>
    </w:p>
    <w:p>
      <w:pPr>
        <w:spacing w:line="280" w:lineRule="atLeast"/>
        <w:ind w:left="2835"/>
        <w:textAlignment w:val="auto"/>
        <w:rPr>
          <w:rtl/>
          <w:lang w:eastAsia="en-US"/>
        </w:rPr>
      </w:pPr>
      <w:r>
        <w:rPr>
          <w:rtl/>
          <w:lang w:eastAsia="en-US"/>
        </w:rPr>
        <w:t>במסגרת שיקול הדעת, המשרד שומר לעצמו את הזכות לקחת בחשבון את הבחירה ב</w:t>
      </w:r>
      <w:r>
        <w:rPr>
          <w:rFonts w:hint="cs"/>
          <w:rtl/>
          <w:lang w:eastAsia="en-US"/>
        </w:rPr>
        <w:t>סמינרים אקדמיים מחקריים</w:t>
      </w:r>
      <w:r>
        <w:rPr>
          <w:rtl/>
          <w:lang w:eastAsia="en-US"/>
        </w:rPr>
        <w:t xml:space="preserve"> שנבחרו ע"י בית הספר בעבר ובבתי ספר שטרם מי</w:t>
      </w:r>
      <w:r>
        <w:rPr>
          <w:rFonts w:hint="cs"/>
          <w:rtl/>
          <w:lang w:eastAsia="en-US"/>
        </w:rPr>
        <w:t>מ</w:t>
      </w:r>
      <w:r>
        <w:rPr>
          <w:rtl/>
          <w:lang w:eastAsia="en-US"/>
        </w:rPr>
        <w:t>שו בחירה זו.</w:t>
      </w:r>
    </w:p>
    <w:p>
      <w:pPr>
        <w:spacing w:line="280" w:lineRule="atLeast"/>
        <w:ind w:left="2835"/>
        <w:textAlignment w:val="auto"/>
        <w:rPr>
          <w:rtl/>
          <w:lang w:eastAsia="en-US"/>
        </w:rPr>
      </w:pPr>
    </w:p>
    <w:p>
      <w:pPr>
        <w:numPr>
          <w:ilvl w:val="3"/>
          <w:numId w:val="9"/>
        </w:numPr>
        <w:spacing w:line="280" w:lineRule="atLeast"/>
        <w:textAlignment w:val="auto"/>
        <w:rPr>
          <w:lang w:eastAsia="en-US"/>
        </w:rPr>
      </w:pPr>
      <w:r>
        <w:rPr>
          <w:rtl/>
          <w:lang w:eastAsia="en-US"/>
        </w:rPr>
        <w:t xml:space="preserve">במידה </w:t>
      </w:r>
      <w:r>
        <w:rPr>
          <w:rFonts w:hint="cs"/>
          <w:rtl/>
          <w:lang w:eastAsia="en-US"/>
        </w:rPr>
        <w:t>ו</w:t>
      </w:r>
      <w:r>
        <w:rPr>
          <w:rtl/>
          <w:lang w:eastAsia="en-US"/>
        </w:rPr>
        <w:t>בית הספר בחר בקורס מדעי באותה שנה</w:t>
      </w:r>
      <w:r>
        <w:rPr>
          <w:rFonts w:hint="cs"/>
          <w:rtl/>
          <w:lang w:eastAsia="en-US"/>
        </w:rPr>
        <w:t>,</w:t>
      </w:r>
      <w:r>
        <w:rPr>
          <w:rtl/>
          <w:lang w:eastAsia="en-US"/>
        </w:rPr>
        <w:t xml:space="preserve"> לא יוכל לבחור גם בסמינר אקדמי</w:t>
      </w:r>
      <w:r>
        <w:rPr>
          <w:rFonts w:hint="cs"/>
          <w:rtl/>
          <w:lang w:eastAsia="en-US"/>
        </w:rPr>
        <w:t xml:space="preserve"> מחקרי באותה השנה</w:t>
      </w:r>
      <w:r>
        <w:rPr>
          <w:rtl/>
          <w:lang w:eastAsia="en-US"/>
        </w:rPr>
        <w:t>.</w:t>
      </w:r>
    </w:p>
    <w:p>
      <w:pPr>
        <w:spacing w:line="280" w:lineRule="atLeast"/>
        <w:ind w:left="2835"/>
        <w:textAlignment w:val="auto"/>
        <w:rPr>
          <w:rtl/>
          <w:lang w:eastAsia="en-US"/>
        </w:rPr>
      </w:pPr>
    </w:p>
    <w:p>
      <w:pPr>
        <w:spacing w:line="280" w:lineRule="atLeast"/>
        <w:ind w:left="2835"/>
        <w:textAlignment w:val="auto"/>
        <w:rPr>
          <w:rtl/>
          <w:lang w:eastAsia="en-US"/>
        </w:rPr>
      </w:pPr>
      <w:r>
        <w:rPr>
          <w:rFonts w:hint="cs"/>
          <w:rtl/>
          <w:lang w:eastAsia="en-US"/>
        </w:rPr>
        <w:t xml:space="preserve">אולם, </w:t>
      </w:r>
      <w:r>
        <w:rPr>
          <w:rtl/>
          <w:lang w:eastAsia="en-US"/>
        </w:rPr>
        <w:t>במידה ולא יהיו בקשות</w:t>
      </w:r>
      <w:r>
        <w:rPr>
          <w:rFonts w:hint="cs"/>
          <w:rtl/>
          <w:lang w:eastAsia="en-US"/>
        </w:rPr>
        <w:t>/ מיעוט בקשות</w:t>
      </w:r>
      <w:r>
        <w:rPr>
          <w:rtl/>
          <w:lang w:eastAsia="en-US"/>
        </w:rPr>
        <w:t xml:space="preserve"> מטעם בתי ספר אחרים, המשרד ישקול לאשר לבית הספר לבחור סמינר אקדמי מחקרי לכיתה גם אם נבחר על ידו קורס מדעי באותה שנה.</w:t>
      </w:r>
    </w:p>
    <w:p>
      <w:pPr>
        <w:spacing w:line="280" w:lineRule="atLeast"/>
        <w:ind w:left="2835"/>
        <w:textAlignment w:val="auto"/>
        <w:rPr>
          <w:rtl/>
          <w:lang w:eastAsia="en-US"/>
        </w:rPr>
      </w:pPr>
    </w:p>
    <w:p>
      <w:pPr>
        <w:numPr>
          <w:ilvl w:val="3"/>
          <w:numId w:val="9"/>
        </w:numPr>
        <w:spacing w:line="280" w:lineRule="atLeast"/>
        <w:ind w:hanging="709"/>
        <w:textAlignment w:val="auto"/>
        <w:rPr>
          <w:lang w:eastAsia="en-US"/>
        </w:rPr>
      </w:pPr>
      <w:r>
        <w:rPr>
          <w:rtl/>
          <w:lang w:eastAsia="en-US"/>
        </w:rPr>
        <w:t>גודל קבוצה בפעילות הסמינרים יעמוד על 15 - 30 תלמידים לכל היותר.</w:t>
      </w:r>
    </w:p>
    <w:p>
      <w:pPr>
        <w:spacing w:line="280" w:lineRule="atLeast"/>
        <w:rPr>
          <w:rtl/>
          <w:lang w:eastAsia="en-US"/>
        </w:rPr>
      </w:pPr>
    </w:p>
    <w:p>
      <w:pPr>
        <w:numPr>
          <w:ilvl w:val="3"/>
          <w:numId w:val="9"/>
        </w:numPr>
        <w:spacing w:line="280" w:lineRule="atLeast"/>
        <w:ind w:hanging="709"/>
        <w:textAlignment w:val="auto"/>
        <w:rPr>
          <w:lang w:eastAsia="en-US"/>
        </w:rPr>
      </w:pPr>
      <w:r>
        <w:rPr>
          <w:rFonts w:hint="cs"/>
          <w:sz w:val="26"/>
          <w:rtl/>
          <w:lang w:eastAsia="en-US"/>
        </w:rPr>
        <w:t>הסמינרים</w:t>
      </w:r>
      <w:r>
        <w:rPr>
          <w:rFonts w:hint="cs"/>
          <w:rtl/>
          <w:lang w:eastAsia="en-US"/>
        </w:rPr>
        <w:t xml:space="preserve"> יועברו  באקדמיה ע"י מרצים בעלי תואר שני ומעלה ומהסגל האקדמי של המוסד.</w:t>
      </w:r>
    </w:p>
    <w:p>
      <w:pPr>
        <w:spacing w:line="280" w:lineRule="atLeast"/>
        <w:rPr>
          <w:lang w:eastAsia="en-US"/>
        </w:rPr>
      </w:pPr>
    </w:p>
    <w:p>
      <w:pPr>
        <w:numPr>
          <w:ilvl w:val="1"/>
          <w:numId w:val="9"/>
        </w:numPr>
        <w:spacing w:line="280" w:lineRule="atLeast"/>
        <w:rPr>
          <w:sz w:val="20"/>
          <w:szCs w:val="20"/>
          <w:lang w:eastAsia="en-US"/>
        </w:rPr>
      </w:pPr>
      <w:r>
        <w:rPr>
          <w:rFonts w:hint="cs"/>
          <w:b/>
          <w:bCs/>
          <w:u w:val="single"/>
          <w:rtl/>
        </w:rPr>
        <w:t>בניית תוכנית שנתית</w:t>
      </w:r>
    </w:p>
    <w:p>
      <w:pPr>
        <w:widowControl w:val="0"/>
        <w:spacing w:line="280" w:lineRule="atLeast"/>
        <w:rPr>
          <w:sz w:val="20"/>
          <w:szCs w:val="20"/>
          <w:rtl/>
          <w:lang w:eastAsia="en-US"/>
        </w:rPr>
      </w:pPr>
    </w:p>
    <w:p>
      <w:pPr>
        <w:widowControl w:val="0"/>
        <w:numPr>
          <w:ilvl w:val="2"/>
          <w:numId w:val="9"/>
        </w:numPr>
        <w:spacing w:line="280" w:lineRule="atLeast"/>
        <w:rPr>
          <w:lang w:eastAsia="en-US"/>
        </w:rPr>
      </w:pPr>
      <w:r>
        <w:rPr>
          <w:rFonts w:hint="cs"/>
          <w:rtl/>
          <w:lang w:eastAsia="en-US"/>
        </w:rPr>
        <w:t>הספק יעביר ספקלאגף את תוכנית העבודה השנתית שתבוצע במהלך שנת הלימודים.</w:t>
      </w:r>
    </w:p>
    <w:p>
      <w:pPr>
        <w:widowControl w:val="0"/>
        <w:spacing w:line="280" w:lineRule="atLeast"/>
        <w:ind w:left="2268" w:right="709"/>
        <w:rPr>
          <w:lang w:eastAsia="en-US"/>
        </w:rPr>
      </w:pPr>
    </w:p>
    <w:p>
      <w:pPr>
        <w:widowControl w:val="0"/>
        <w:numPr>
          <w:ilvl w:val="2"/>
          <w:numId w:val="9"/>
        </w:numPr>
        <w:spacing w:line="280" w:lineRule="atLeast"/>
        <w:rPr>
          <w:lang w:eastAsia="en-US"/>
        </w:rPr>
      </w:pPr>
      <w:r>
        <w:rPr>
          <w:rFonts w:hint="cs"/>
          <w:rtl/>
          <w:lang w:eastAsia="en-US"/>
        </w:rPr>
        <w:t>התוכנית תתייחס לכל אחד מהנושאים בהם מתוכננת פעילות.</w:t>
      </w:r>
    </w:p>
    <w:p>
      <w:pPr>
        <w:pStyle w:val="aff2"/>
        <w:spacing w:line="280" w:lineRule="atLeast"/>
        <w:rPr>
          <w:rtl/>
          <w:lang w:eastAsia="en-US"/>
        </w:rPr>
      </w:pPr>
    </w:p>
    <w:p>
      <w:pPr>
        <w:widowControl w:val="0"/>
        <w:numPr>
          <w:ilvl w:val="2"/>
          <w:numId w:val="9"/>
        </w:numPr>
        <w:spacing w:line="280" w:lineRule="atLeast"/>
        <w:rPr>
          <w:lang w:eastAsia="en-US"/>
        </w:rPr>
      </w:pPr>
      <w:r>
        <w:rPr>
          <w:rFonts w:hint="cs"/>
          <w:rtl/>
          <w:lang w:eastAsia="en-US"/>
        </w:rPr>
        <w:lastRenderedPageBreak/>
        <w:t>הספק יכין בתחילת כל שנת פעילות עבור כל אחד מהנושאים תוכנית פעילות מפורטת תוך התאמה לנושא הפעילות, אוכלוסיית היעד, רשימת מרצים בכל פעילות ומקום ביצוע התוכנית.</w:t>
      </w:r>
    </w:p>
    <w:p>
      <w:pPr>
        <w:pStyle w:val="aff2"/>
        <w:spacing w:line="280" w:lineRule="atLeast"/>
        <w:rPr>
          <w:rtl/>
          <w:lang w:eastAsia="en-US"/>
        </w:rPr>
      </w:pPr>
    </w:p>
    <w:p>
      <w:pPr>
        <w:widowControl w:val="0"/>
        <w:numPr>
          <w:ilvl w:val="2"/>
          <w:numId w:val="9"/>
        </w:numPr>
        <w:spacing w:line="280" w:lineRule="atLeast"/>
        <w:rPr>
          <w:lang w:eastAsia="en-US"/>
        </w:rPr>
      </w:pPr>
      <w:r>
        <w:rPr>
          <w:rFonts w:hint="cs"/>
          <w:rtl/>
          <w:lang w:eastAsia="en-US"/>
        </w:rPr>
        <w:t>הספק יעביר לאגף את תוכניות הפעילות לאישור.</w:t>
      </w:r>
    </w:p>
    <w:p>
      <w:pPr>
        <w:pStyle w:val="aff2"/>
        <w:spacing w:line="280" w:lineRule="atLeast"/>
        <w:rPr>
          <w:rtl/>
          <w:lang w:eastAsia="en-US"/>
        </w:rPr>
      </w:pPr>
    </w:p>
    <w:p>
      <w:pPr>
        <w:widowControl w:val="0"/>
        <w:numPr>
          <w:ilvl w:val="2"/>
          <w:numId w:val="9"/>
        </w:numPr>
        <w:spacing w:line="280" w:lineRule="atLeast"/>
        <w:rPr>
          <w:lang w:eastAsia="en-US"/>
        </w:rPr>
      </w:pPr>
      <w:r>
        <w:rPr>
          <w:rFonts w:hint="cs"/>
          <w:rtl/>
          <w:lang w:eastAsia="en-US"/>
        </w:rPr>
        <w:t xml:space="preserve">הספק יעדכן ויתאים את תוכניות הפעילות בהתאם להערות האגף ועל פי דרישות משתנות של בתי ספר המשתתפים בפרויקטים, בנוגע ללוח זמני הפעילות ותוכן הקורס, בכפוף לאפשרויות המוסד האקדמי. </w:t>
      </w:r>
    </w:p>
    <w:p>
      <w:pPr>
        <w:pStyle w:val="aff2"/>
        <w:spacing w:line="280" w:lineRule="atLeast"/>
        <w:rPr>
          <w:rtl/>
          <w:lang w:eastAsia="en-US"/>
        </w:rPr>
      </w:pPr>
    </w:p>
    <w:p>
      <w:pPr>
        <w:widowControl w:val="0"/>
        <w:numPr>
          <w:ilvl w:val="2"/>
          <w:numId w:val="9"/>
        </w:numPr>
        <w:spacing w:line="280" w:lineRule="atLeast"/>
        <w:rPr>
          <w:lang w:eastAsia="en-US"/>
        </w:rPr>
      </w:pPr>
      <w:r>
        <w:rPr>
          <w:rFonts w:hint="cs"/>
          <w:rtl/>
          <w:lang w:eastAsia="en-US"/>
        </w:rPr>
        <w:t>הספק יתאם עם מרצים בהתאם למועדי ביצוע הפעילות.</w:t>
      </w:r>
    </w:p>
    <w:p>
      <w:pPr>
        <w:widowControl w:val="0"/>
        <w:spacing w:line="280" w:lineRule="atLeast"/>
        <w:ind w:left="2268"/>
        <w:rPr>
          <w:rtl/>
          <w:lang w:eastAsia="en-US"/>
        </w:rPr>
      </w:pPr>
    </w:p>
    <w:p>
      <w:pPr>
        <w:numPr>
          <w:ilvl w:val="1"/>
          <w:numId w:val="9"/>
        </w:numPr>
        <w:spacing w:line="280" w:lineRule="atLeast"/>
        <w:rPr>
          <w:sz w:val="20"/>
          <w:szCs w:val="20"/>
          <w:lang w:eastAsia="en-US"/>
        </w:rPr>
      </w:pPr>
      <w:r>
        <w:rPr>
          <w:rFonts w:hint="cs"/>
          <w:b/>
          <w:bCs/>
          <w:u w:val="single"/>
          <w:rtl/>
        </w:rPr>
        <w:t>ביצוע הפעילות</w:t>
      </w:r>
    </w:p>
    <w:p>
      <w:pPr>
        <w:widowControl w:val="0"/>
        <w:spacing w:line="280" w:lineRule="atLeast"/>
        <w:rPr>
          <w:sz w:val="20"/>
          <w:szCs w:val="20"/>
          <w:rtl/>
          <w:lang w:eastAsia="en-US"/>
        </w:rPr>
      </w:pPr>
    </w:p>
    <w:p>
      <w:pPr>
        <w:widowControl w:val="0"/>
        <w:numPr>
          <w:ilvl w:val="2"/>
          <w:numId w:val="9"/>
        </w:numPr>
        <w:spacing w:line="280" w:lineRule="atLeast"/>
        <w:rPr>
          <w:lang w:eastAsia="en-US"/>
        </w:rPr>
      </w:pPr>
      <w:r>
        <w:rPr>
          <w:rFonts w:hint="cs"/>
          <w:rtl/>
          <w:lang w:eastAsia="en-US"/>
        </w:rPr>
        <w:t>הספק יבצע את הפעילויות בהתאם לתוכנית השנתית שאשורה מראש ע"י האגף.</w:t>
      </w:r>
    </w:p>
    <w:p>
      <w:pPr>
        <w:widowControl w:val="0"/>
        <w:spacing w:line="280" w:lineRule="atLeast"/>
        <w:ind w:left="2268"/>
        <w:rPr>
          <w:lang w:eastAsia="en-US"/>
        </w:rPr>
      </w:pPr>
      <w:r>
        <w:rPr>
          <w:rFonts w:hint="cs"/>
          <w:rtl/>
          <w:lang w:eastAsia="en-US"/>
        </w:rPr>
        <w:t xml:space="preserve"> </w:t>
      </w:r>
    </w:p>
    <w:p>
      <w:pPr>
        <w:widowControl w:val="0"/>
        <w:numPr>
          <w:ilvl w:val="2"/>
          <w:numId w:val="9"/>
        </w:numPr>
        <w:spacing w:line="280" w:lineRule="atLeast"/>
        <w:rPr>
          <w:lang w:eastAsia="en-US"/>
        </w:rPr>
      </w:pPr>
      <w:r>
        <w:rPr>
          <w:rFonts w:hint="cs"/>
          <w:rtl/>
          <w:lang w:eastAsia="en-US"/>
        </w:rPr>
        <w:t>הספק יכין את אתרי הפעילות ואת האמצעים הנדרשים לכל סוג פעילות.</w:t>
      </w:r>
    </w:p>
    <w:p>
      <w:pPr>
        <w:pStyle w:val="aff2"/>
        <w:spacing w:line="280" w:lineRule="atLeast"/>
        <w:rPr>
          <w:rtl/>
          <w:lang w:eastAsia="en-US"/>
        </w:rPr>
      </w:pPr>
    </w:p>
    <w:p>
      <w:pPr>
        <w:widowControl w:val="0"/>
        <w:numPr>
          <w:ilvl w:val="2"/>
          <w:numId w:val="9"/>
        </w:numPr>
        <w:spacing w:line="280" w:lineRule="atLeast"/>
        <w:rPr>
          <w:lang w:eastAsia="en-US"/>
        </w:rPr>
      </w:pPr>
      <w:r>
        <w:rPr>
          <w:rFonts w:hint="cs"/>
          <w:rtl/>
          <w:lang w:eastAsia="en-US"/>
        </w:rPr>
        <w:t>הספק יתאם את מועדי ההגעה של התלמידים ואת התוכן הפדגוגי המוצע לכל פעילות, מול בתי הספר.</w:t>
      </w:r>
    </w:p>
    <w:p>
      <w:pPr>
        <w:pStyle w:val="aff2"/>
        <w:spacing w:line="280" w:lineRule="atLeast"/>
        <w:rPr>
          <w:rtl/>
          <w:lang w:eastAsia="en-US"/>
        </w:rPr>
      </w:pPr>
    </w:p>
    <w:p>
      <w:pPr>
        <w:widowControl w:val="0"/>
        <w:numPr>
          <w:ilvl w:val="2"/>
          <w:numId w:val="9"/>
        </w:numPr>
        <w:spacing w:line="280" w:lineRule="atLeast"/>
        <w:rPr>
          <w:lang w:eastAsia="en-US"/>
        </w:rPr>
      </w:pPr>
      <w:r>
        <w:rPr>
          <w:rFonts w:hint="cs"/>
          <w:rtl/>
          <w:lang w:eastAsia="en-US"/>
        </w:rPr>
        <w:t>ביום הפעילות הספק יקבל את קבוצת התלמידים וילווה אותם לאתר הפעילות.</w:t>
      </w:r>
    </w:p>
    <w:p>
      <w:pPr>
        <w:pStyle w:val="aff2"/>
        <w:spacing w:line="280" w:lineRule="atLeast"/>
        <w:rPr>
          <w:rtl/>
          <w:lang w:eastAsia="en-US"/>
        </w:rPr>
      </w:pPr>
    </w:p>
    <w:p>
      <w:pPr>
        <w:widowControl w:val="0"/>
        <w:numPr>
          <w:ilvl w:val="2"/>
          <w:numId w:val="9"/>
        </w:numPr>
        <w:spacing w:line="280" w:lineRule="atLeast"/>
        <w:rPr>
          <w:lang w:eastAsia="en-US"/>
        </w:rPr>
      </w:pPr>
      <w:r>
        <w:rPr>
          <w:rFonts w:hint="cs"/>
          <w:rtl/>
          <w:lang w:eastAsia="en-US"/>
        </w:rPr>
        <w:t>הספק יתאם הגעת המרצים לביצוע הפעילות.</w:t>
      </w:r>
    </w:p>
    <w:p>
      <w:pPr>
        <w:pStyle w:val="aff2"/>
        <w:spacing w:line="280" w:lineRule="atLeast"/>
        <w:rPr>
          <w:rtl/>
          <w:lang w:eastAsia="en-US"/>
        </w:rPr>
      </w:pPr>
    </w:p>
    <w:p>
      <w:pPr>
        <w:widowControl w:val="0"/>
        <w:numPr>
          <w:ilvl w:val="2"/>
          <w:numId w:val="9"/>
        </w:numPr>
        <w:spacing w:line="280" w:lineRule="atLeast"/>
        <w:rPr>
          <w:lang w:eastAsia="en-US"/>
        </w:rPr>
      </w:pPr>
      <w:r>
        <w:rPr>
          <w:rFonts w:hint="cs"/>
          <w:rtl/>
          <w:lang w:eastAsia="en-US"/>
        </w:rPr>
        <w:t>בסוף כל יום פעילות הספק יכין דוח המסכם את יום הפעילות, דוח זה יצורף לחשבונית ויהוו תנאי לתשלום.</w:t>
      </w:r>
    </w:p>
    <w:p>
      <w:pPr>
        <w:pStyle w:val="aff2"/>
        <w:spacing w:line="280" w:lineRule="atLeast"/>
        <w:rPr>
          <w:rtl/>
          <w:lang w:eastAsia="en-US"/>
        </w:rPr>
      </w:pPr>
    </w:p>
    <w:p>
      <w:pPr>
        <w:numPr>
          <w:ilvl w:val="1"/>
          <w:numId w:val="9"/>
        </w:numPr>
        <w:spacing w:line="280" w:lineRule="atLeast"/>
        <w:rPr>
          <w:sz w:val="26"/>
          <w:lang w:eastAsia="en-US"/>
        </w:rPr>
      </w:pPr>
      <w:r>
        <w:rPr>
          <w:rFonts w:hint="cs"/>
          <w:b/>
          <w:bCs/>
          <w:sz w:val="26"/>
          <w:u w:val="single"/>
          <w:rtl/>
          <w:lang w:eastAsia="en-US"/>
        </w:rPr>
        <w:t>איסור גבייה ממשתתפים</w:t>
      </w:r>
    </w:p>
    <w:p>
      <w:pPr>
        <w:spacing w:line="280" w:lineRule="atLeast"/>
        <w:ind w:left="1418"/>
        <w:rPr>
          <w:sz w:val="26"/>
          <w:rtl/>
          <w:lang w:eastAsia="en-US"/>
        </w:rPr>
      </w:pPr>
    </w:p>
    <w:p>
      <w:pPr>
        <w:spacing w:line="280" w:lineRule="atLeast"/>
        <w:ind w:left="1418" w:right="-284"/>
        <w:rPr>
          <w:sz w:val="26"/>
          <w:rtl/>
          <w:lang w:eastAsia="en-US"/>
        </w:rPr>
      </w:pPr>
      <w:r>
        <w:rPr>
          <w:rFonts w:hint="cs"/>
          <w:sz w:val="26"/>
          <w:rtl/>
          <w:lang w:eastAsia="en-US"/>
        </w:rPr>
        <w:t>חל איסור על הספק לגבות כל תשלום מהמשתתפים, מהוריהם או מבתי הספר המשתתפים בתכנית, בגין ביצוע הפעילות במכרז זה.</w:t>
      </w:r>
    </w:p>
    <w:p>
      <w:pPr>
        <w:spacing w:line="280" w:lineRule="atLeast"/>
        <w:ind w:left="1418"/>
        <w:rPr>
          <w:b/>
          <w:bCs/>
          <w:u w:val="single"/>
          <w:rtl/>
        </w:rPr>
      </w:pPr>
    </w:p>
    <w:p>
      <w:pPr>
        <w:numPr>
          <w:ilvl w:val="1"/>
          <w:numId w:val="9"/>
        </w:numPr>
        <w:spacing w:line="280" w:lineRule="atLeast"/>
        <w:rPr>
          <w:b/>
          <w:bCs/>
          <w:u w:val="single"/>
        </w:rPr>
      </w:pPr>
      <w:r>
        <w:rPr>
          <w:rFonts w:hint="cs"/>
          <w:b/>
          <w:bCs/>
          <w:u w:val="single"/>
          <w:rtl/>
        </w:rPr>
        <w:t>דיווח</w:t>
      </w:r>
    </w:p>
    <w:p>
      <w:pPr>
        <w:spacing w:line="280" w:lineRule="atLeast"/>
        <w:rPr>
          <w:b/>
          <w:bCs/>
          <w:u w:val="single"/>
        </w:rPr>
      </w:pPr>
    </w:p>
    <w:p>
      <w:pPr>
        <w:numPr>
          <w:ilvl w:val="3"/>
          <w:numId w:val="9"/>
        </w:numPr>
        <w:spacing w:line="280" w:lineRule="atLeast"/>
        <w:rPr>
          <w:sz w:val="22"/>
          <w:lang w:eastAsia="en-US"/>
        </w:rPr>
      </w:pPr>
      <w:bookmarkStart w:id="21" w:name="_Hlk165452222"/>
      <w:r>
        <w:rPr>
          <w:rFonts w:hint="cs"/>
          <w:sz w:val="22"/>
          <w:rtl/>
          <w:lang w:eastAsia="en-US"/>
        </w:rPr>
        <w:t>הספק יעביר דוח"ות ביצוע באופן רבעוני לאגף, דו"ח ביצוע יכלול בין היתר את הפירוט הבא: שמות ומספרי בתי הספר המשתתפים, מספר כיתות, סוג פעילות, היקף שעות הפעילות, מועד וכדומה. המשרד שומר לעצמו את שיקול הדעת לדרוש פירוט נוסף / אחר בדו"ח הביצוע והכל בהתאם להוראות האגף שינתנו מעת לעת.</w:t>
      </w:r>
    </w:p>
    <w:p>
      <w:pPr>
        <w:spacing w:line="280" w:lineRule="atLeast"/>
        <w:ind w:left="2835"/>
        <w:rPr>
          <w:sz w:val="22"/>
          <w:lang w:eastAsia="en-US"/>
        </w:rPr>
      </w:pPr>
    </w:p>
    <w:p>
      <w:pPr>
        <w:numPr>
          <w:ilvl w:val="3"/>
          <w:numId w:val="9"/>
        </w:numPr>
        <w:spacing w:line="280" w:lineRule="atLeast"/>
        <w:rPr>
          <w:sz w:val="22"/>
          <w:lang w:eastAsia="en-US"/>
        </w:rPr>
      </w:pPr>
      <w:r>
        <w:rPr>
          <w:rFonts w:hint="cs"/>
          <w:sz w:val="22"/>
          <w:rtl/>
          <w:lang w:eastAsia="en-US"/>
        </w:rPr>
        <w:t>דוח רבעוני:</w:t>
      </w:r>
    </w:p>
    <w:p>
      <w:pPr>
        <w:spacing w:line="280" w:lineRule="atLeast"/>
        <w:ind w:left="2835"/>
        <w:rPr>
          <w:sz w:val="22"/>
          <w:rtl/>
          <w:lang w:eastAsia="en-US"/>
        </w:rPr>
      </w:pPr>
    </w:p>
    <w:p>
      <w:pPr>
        <w:spacing w:line="280" w:lineRule="atLeast"/>
        <w:ind w:left="2835"/>
        <w:rPr>
          <w:sz w:val="22"/>
          <w:rtl/>
          <w:lang w:eastAsia="en-US"/>
        </w:rPr>
      </w:pPr>
      <w:r>
        <w:rPr>
          <w:sz w:val="22"/>
          <w:rtl/>
          <w:lang w:eastAsia="en-US"/>
        </w:rPr>
        <w:t xml:space="preserve">הספק ידווח </w:t>
      </w:r>
      <w:r>
        <w:rPr>
          <w:rFonts w:hint="cs"/>
          <w:sz w:val="22"/>
          <w:rtl/>
          <w:lang w:eastAsia="en-US"/>
        </w:rPr>
        <w:t xml:space="preserve">למשרד </w:t>
      </w:r>
      <w:r>
        <w:rPr>
          <w:sz w:val="22"/>
          <w:rtl/>
          <w:lang w:eastAsia="en-US"/>
        </w:rPr>
        <w:t xml:space="preserve">דיווח </w:t>
      </w:r>
      <w:r>
        <w:rPr>
          <w:rFonts w:hint="cs"/>
          <w:sz w:val="22"/>
          <w:rtl/>
          <w:lang w:eastAsia="en-US"/>
        </w:rPr>
        <w:t>רבעוני, הדיווח יכלול את - פירוט בתי הספר שהשתתפו, מספר תלמידים בכל בית ספר, סוג הפעילות, היקף שעות הפעילות מספר ושמות בתי"ס שביטלו פעילות שתואמה וכל פרט נוסף שיידרש (כגון: דיווחים פדגוגיים המתייחסים להשתתפות התלמידים, משוב על הפעילויות וכו</w:t>
      </w:r>
      <w:smartTag w:uri="urn:schemas-microsoft-com:office:smarttags" w:element="PersonName">
        <w:r>
          <w:rPr>
            <w:rFonts w:hint="cs"/>
            <w:sz w:val="22"/>
            <w:rtl/>
            <w:lang w:eastAsia="en-US"/>
          </w:rPr>
          <w:t>'</w:t>
        </w:r>
      </w:smartTag>
      <w:r>
        <w:rPr>
          <w:rFonts w:hint="cs"/>
          <w:sz w:val="22"/>
          <w:rtl/>
          <w:lang w:eastAsia="en-US"/>
        </w:rPr>
        <w:t>)</w:t>
      </w:r>
      <w:r>
        <w:rPr>
          <w:sz w:val="22"/>
          <w:rtl/>
          <w:lang w:eastAsia="en-US"/>
        </w:rPr>
        <w:t>.</w:t>
      </w:r>
    </w:p>
    <w:p>
      <w:pPr>
        <w:spacing w:line="280" w:lineRule="atLeast"/>
        <w:ind w:left="1418"/>
        <w:rPr>
          <w:sz w:val="22"/>
          <w:rtl/>
          <w:lang w:eastAsia="en-US"/>
        </w:rPr>
      </w:pPr>
    </w:p>
    <w:p>
      <w:pPr>
        <w:numPr>
          <w:ilvl w:val="3"/>
          <w:numId w:val="9"/>
        </w:numPr>
        <w:spacing w:line="280" w:lineRule="atLeast"/>
        <w:rPr>
          <w:sz w:val="22"/>
          <w:lang w:eastAsia="en-US"/>
        </w:rPr>
      </w:pPr>
      <w:r>
        <w:rPr>
          <w:rFonts w:hint="cs"/>
          <w:sz w:val="22"/>
          <w:rtl/>
          <w:lang w:eastAsia="en-US"/>
        </w:rPr>
        <w:t>טפסי משוב:</w:t>
      </w:r>
      <w:r>
        <w:rPr>
          <w:sz w:val="22"/>
          <w:rtl/>
          <w:lang w:eastAsia="en-US"/>
        </w:rPr>
        <w:br/>
      </w:r>
    </w:p>
    <w:p>
      <w:pPr>
        <w:spacing w:line="280" w:lineRule="atLeast"/>
        <w:ind w:left="2835"/>
        <w:rPr>
          <w:sz w:val="22"/>
          <w:rtl/>
          <w:lang w:eastAsia="en-US"/>
        </w:rPr>
      </w:pPr>
      <w:r>
        <w:rPr>
          <w:rFonts w:hint="cs"/>
          <w:sz w:val="22"/>
          <w:rtl/>
          <w:lang w:eastAsia="en-US"/>
        </w:rPr>
        <w:lastRenderedPageBreak/>
        <w:t xml:space="preserve">בסיום </w:t>
      </w:r>
      <w:r>
        <w:rPr>
          <w:rFonts w:hint="cs"/>
          <w:sz w:val="22"/>
          <w:u w:val="single"/>
          <w:rtl/>
          <w:lang w:eastAsia="en-US"/>
        </w:rPr>
        <w:t>כל פעילות</w:t>
      </w:r>
      <w:r>
        <w:rPr>
          <w:rFonts w:hint="cs"/>
          <w:sz w:val="22"/>
          <w:rtl/>
          <w:lang w:eastAsia="en-US"/>
        </w:rPr>
        <w:t xml:space="preserve"> יעביר הספק טפסי משוב בקרב התלמידים המשתתפים, המורים המלווים ורכזי הפעילות מבתי הספר על תכני הפעילויות והמפעילים. </w:t>
      </w:r>
    </w:p>
    <w:p>
      <w:pPr>
        <w:spacing w:line="280" w:lineRule="atLeast"/>
        <w:ind w:left="2835"/>
        <w:rPr>
          <w:sz w:val="22"/>
          <w:rtl/>
          <w:lang w:eastAsia="en-US"/>
        </w:rPr>
      </w:pPr>
    </w:p>
    <w:p>
      <w:pPr>
        <w:spacing w:line="280" w:lineRule="atLeast"/>
        <w:ind w:left="2835"/>
        <w:rPr>
          <w:sz w:val="22"/>
          <w:rtl/>
          <w:lang w:eastAsia="en-US"/>
        </w:rPr>
      </w:pPr>
      <w:r>
        <w:rPr>
          <w:rFonts w:hint="cs"/>
          <w:sz w:val="22"/>
          <w:rtl/>
          <w:lang w:eastAsia="en-US"/>
        </w:rPr>
        <w:t>במסגרת הדיווח יעביר הספק למשרד את תוצאות המשובים וניתוחיהם עבור כל פעילות שהסתיימה, וכן את תוצאות ביצוע ניתוחי הפעילות והמסקנות.</w:t>
      </w:r>
    </w:p>
    <w:p>
      <w:pPr>
        <w:spacing w:line="280" w:lineRule="atLeast"/>
        <w:ind w:left="1418"/>
        <w:rPr>
          <w:sz w:val="22"/>
          <w:rtl/>
          <w:lang w:eastAsia="en-US"/>
        </w:rPr>
      </w:pPr>
    </w:p>
    <w:p>
      <w:pPr>
        <w:numPr>
          <w:ilvl w:val="3"/>
          <w:numId w:val="9"/>
        </w:numPr>
        <w:spacing w:line="280" w:lineRule="atLeast"/>
        <w:rPr>
          <w:sz w:val="22"/>
          <w:lang w:eastAsia="en-US"/>
        </w:rPr>
      </w:pPr>
      <w:r>
        <w:rPr>
          <w:rFonts w:hint="cs"/>
          <w:sz w:val="22"/>
          <w:rtl/>
          <w:lang w:eastAsia="en-US"/>
        </w:rPr>
        <w:t>דוח שנתי:</w:t>
      </w:r>
    </w:p>
    <w:p>
      <w:pPr>
        <w:spacing w:line="280" w:lineRule="atLeast"/>
        <w:ind w:left="2835"/>
        <w:rPr>
          <w:sz w:val="22"/>
          <w:rtl/>
          <w:lang w:eastAsia="en-US"/>
        </w:rPr>
      </w:pPr>
      <w:r>
        <w:rPr>
          <w:sz w:val="22"/>
          <w:rtl/>
          <w:lang w:eastAsia="en-US"/>
        </w:rPr>
        <w:t>הספק יגיש דו"ח</w:t>
      </w:r>
      <w:r>
        <w:rPr>
          <w:rFonts w:hint="cs"/>
          <w:sz w:val="22"/>
          <w:rtl/>
          <w:lang w:eastAsia="en-US"/>
        </w:rPr>
        <w:t xml:space="preserve"> </w:t>
      </w:r>
      <w:r>
        <w:rPr>
          <w:sz w:val="22"/>
          <w:rtl/>
          <w:lang w:eastAsia="en-US"/>
        </w:rPr>
        <w:t xml:space="preserve">סיכום </w:t>
      </w:r>
      <w:r>
        <w:rPr>
          <w:rFonts w:hint="cs"/>
          <w:sz w:val="22"/>
          <w:rtl/>
          <w:lang w:eastAsia="en-US"/>
        </w:rPr>
        <w:t xml:space="preserve">תקופתי </w:t>
      </w:r>
      <w:r>
        <w:rPr>
          <w:sz w:val="22"/>
          <w:rtl/>
          <w:lang w:eastAsia="en-US"/>
        </w:rPr>
        <w:t xml:space="preserve">שנתי המפרט </w:t>
      </w:r>
      <w:r>
        <w:rPr>
          <w:sz w:val="22"/>
          <w:u w:val="single"/>
          <w:rtl/>
          <w:lang w:eastAsia="en-US"/>
        </w:rPr>
        <w:t xml:space="preserve">את כל </w:t>
      </w:r>
      <w:r>
        <w:rPr>
          <w:rFonts w:hint="cs"/>
          <w:sz w:val="22"/>
          <w:u w:val="single"/>
          <w:rtl/>
          <w:lang w:eastAsia="en-US"/>
        </w:rPr>
        <w:t>הפעילות</w:t>
      </w:r>
      <w:r>
        <w:rPr>
          <w:rFonts w:hint="cs"/>
          <w:sz w:val="22"/>
          <w:rtl/>
          <w:lang w:eastAsia="en-US"/>
        </w:rPr>
        <w:t xml:space="preserve"> שבוצעה לפי בתי ספר</w:t>
      </w:r>
      <w:r>
        <w:rPr>
          <w:sz w:val="22"/>
          <w:rtl/>
          <w:lang w:eastAsia="en-US"/>
        </w:rPr>
        <w:t>, ריכוז בעיות</w:t>
      </w:r>
      <w:r>
        <w:rPr>
          <w:rFonts w:hint="cs"/>
          <w:sz w:val="22"/>
          <w:rtl/>
          <w:lang w:eastAsia="en-US"/>
        </w:rPr>
        <w:t xml:space="preserve"> (באם ישנם)</w:t>
      </w:r>
      <w:r>
        <w:rPr>
          <w:sz w:val="22"/>
          <w:rtl/>
          <w:lang w:eastAsia="en-US"/>
        </w:rPr>
        <w:t xml:space="preserve"> ודרכי טיפול וסיכומים סטטיסטיים.</w:t>
      </w:r>
    </w:p>
    <w:bookmarkEnd w:id="21"/>
    <w:p>
      <w:pPr>
        <w:spacing w:line="280" w:lineRule="atLeast"/>
        <w:ind w:left="1418"/>
        <w:rPr>
          <w:sz w:val="22"/>
          <w:rtl/>
          <w:lang w:eastAsia="en-US"/>
        </w:rPr>
      </w:pPr>
    </w:p>
    <w:p>
      <w:pPr>
        <w:spacing w:line="280" w:lineRule="atLeast"/>
        <w:ind w:left="1418"/>
        <w:rPr>
          <w:spacing w:val="-2"/>
          <w:sz w:val="22"/>
          <w:rtl/>
          <w:lang w:eastAsia="en-US"/>
        </w:rPr>
      </w:pPr>
      <w:r>
        <w:rPr>
          <w:sz w:val="22"/>
          <w:rtl/>
          <w:lang w:eastAsia="en-US"/>
        </w:rPr>
        <w:t>הספק</w:t>
      </w:r>
      <w:r>
        <w:rPr>
          <w:spacing w:val="-2"/>
          <w:sz w:val="22"/>
          <w:rtl/>
          <w:lang w:eastAsia="en-US"/>
        </w:rPr>
        <w:t xml:space="preserve"> מתחייב למסור למשרד בכל עת שיידרש את כל המידע שנצבר בהקשר </w:t>
      </w:r>
      <w:r>
        <w:rPr>
          <w:rFonts w:hint="cs"/>
          <w:spacing w:val="-2"/>
          <w:sz w:val="22"/>
          <w:rtl/>
          <w:lang w:eastAsia="en-US"/>
        </w:rPr>
        <w:t>לפעילות</w:t>
      </w:r>
      <w:r>
        <w:rPr>
          <w:spacing w:val="-2"/>
          <w:sz w:val="22"/>
          <w:rtl/>
          <w:lang w:eastAsia="en-US"/>
        </w:rPr>
        <w:t xml:space="preserve"> המתבצעת.</w:t>
      </w:r>
    </w:p>
    <w:p>
      <w:pPr>
        <w:spacing w:line="280" w:lineRule="atLeast"/>
        <w:ind w:left="1418"/>
        <w:rPr>
          <w:spacing w:val="-2"/>
          <w:sz w:val="22"/>
          <w:rtl/>
          <w:lang w:eastAsia="en-US"/>
        </w:rPr>
      </w:pPr>
    </w:p>
    <w:p>
      <w:pPr>
        <w:spacing w:line="280" w:lineRule="atLeast"/>
        <w:ind w:left="1418"/>
        <w:rPr>
          <w:spacing w:val="-2"/>
          <w:sz w:val="22"/>
          <w:rtl/>
          <w:lang w:eastAsia="en-US"/>
        </w:rPr>
      </w:pPr>
      <w:r>
        <w:rPr>
          <w:rFonts w:hint="cs"/>
          <w:spacing w:val="-2"/>
          <w:sz w:val="22"/>
          <w:rtl/>
          <w:lang w:eastAsia="en-US"/>
        </w:rPr>
        <w:t>ייתכן כי הספק ידרש למסור מעת לעת דוח דיווח בפילוח שונה ו/או במועדים שונים מהמועדים הנקובים לעיל, הכל בהתאם להוראות האגף שינתנו מעת לעת.</w:t>
      </w:r>
    </w:p>
    <w:p>
      <w:pPr>
        <w:widowControl w:val="0"/>
        <w:spacing w:line="300" w:lineRule="atLeast"/>
        <w:rPr>
          <w:b/>
          <w:bCs/>
          <w:u w:val="single"/>
          <w:lang w:eastAsia="en-US"/>
        </w:rPr>
      </w:pPr>
    </w:p>
    <w:p>
      <w:pPr>
        <w:pStyle w:val="2"/>
        <w:keepNext w:val="0"/>
        <w:widowControl w:val="0"/>
        <w:numPr>
          <w:ilvl w:val="1"/>
          <w:numId w:val="9"/>
        </w:numPr>
        <w:spacing w:before="0" w:after="0" w:line="300" w:lineRule="atLeast"/>
        <w:ind w:right="0"/>
        <w:rPr>
          <w:position w:val="2"/>
          <w:sz w:val="22"/>
          <w:rtl/>
        </w:rPr>
      </w:pPr>
      <w:r>
        <w:rPr>
          <w:position w:val="2"/>
          <w:sz w:val="22"/>
          <w:rtl/>
        </w:rPr>
        <w:t>תשתית ממוחשבת</w:t>
      </w:r>
    </w:p>
    <w:p>
      <w:pPr>
        <w:widowControl w:val="0"/>
        <w:spacing w:line="300" w:lineRule="atLeast"/>
        <w:ind w:left="1440"/>
        <w:rPr>
          <w:position w:val="2"/>
          <w:sz w:val="22"/>
          <w:rtl/>
        </w:rPr>
      </w:pPr>
    </w:p>
    <w:p>
      <w:pPr>
        <w:widowControl w:val="0"/>
        <w:spacing w:line="300" w:lineRule="atLeast"/>
        <w:ind w:left="1417"/>
        <w:rPr>
          <w:position w:val="2"/>
          <w:sz w:val="22"/>
          <w:rtl/>
        </w:rPr>
      </w:pPr>
      <w:r>
        <w:rPr>
          <w:position w:val="2"/>
          <w:sz w:val="22"/>
          <w:rtl/>
        </w:rPr>
        <w:t xml:space="preserve">הספק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pPr>
        <w:widowControl w:val="0"/>
        <w:spacing w:line="300" w:lineRule="atLeast"/>
        <w:ind w:left="1440"/>
        <w:rPr>
          <w:position w:val="2"/>
          <w:sz w:val="22"/>
          <w:rtl/>
        </w:rPr>
      </w:pPr>
    </w:p>
    <w:p>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 כגון: נתוני בתי הספר המשתתפים, פרטי תוכניות הפעילות, עדכונים שוטפים בנוגע לקצב התקדמות התוכניות ביחס לתכנון, נתוני התלמידים המשתתפים, היקף ההשתתפות ועוד.</w:t>
      </w:r>
    </w:p>
    <w:p>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חובה על הספק להעביר העתק של היישום הממוחשב מיד לאחר הפעלתו וכן להעביר עותק מעודכן בכל עת בו הספק מבצע שינוי כלשהו.</w:t>
      </w:r>
    </w:p>
    <w:p>
      <w:pPr>
        <w:widowControl w:val="0"/>
        <w:spacing w:line="300" w:lineRule="atLeast"/>
        <w:ind w:left="1984"/>
        <w:rPr>
          <w:position w:val="2"/>
          <w:sz w:val="22"/>
        </w:rPr>
      </w:pPr>
      <w:r>
        <w:rPr>
          <w:rFonts w:hint="cs"/>
          <w:position w:val="2"/>
          <w:sz w:val="22"/>
          <w:rtl/>
        </w:rPr>
        <w:t>בנוסף, יעביר הספק למשרד את כל המידע שנצבר במערכות שלו בכל הנוגע לפרוייקט זה וזאת בכל עת שיידרש לכך ע"י המשרד.</w:t>
      </w:r>
    </w:p>
    <w:p>
      <w:pPr>
        <w:widowControl w:val="0"/>
        <w:spacing w:line="300" w:lineRule="atLeast"/>
        <w:rPr>
          <w:b/>
          <w:bCs/>
          <w:u w:val="single"/>
          <w:rtl/>
          <w:lang w:eastAsia="en-US"/>
        </w:rPr>
      </w:pPr>
    </w:p>
    <w:p>
      <w:pPr>
        <w:widowControl w:val="0"/>
        <w:numPr>
          <w:ilvl w:val="1"/>
          <w:numId w:val="9"/>
        </w:numPr>
        <w:spacing w:line="300" w:lineRule="atLeast"/>
        <w:rPr>
          <w:b/>
          <w:bCs/>
          <w:sz w:val="26"/>
          <w:u w:val="single"/>
          <w:rtl/>
          <w:lang w:eastAsia="en-US"/>
        </w:rPr>
      </w:pPr>
      <w:r>
        <w:rPr>
          <w:rFonts w:hint="cs"/>
          <w:b/>
          <w:bCs/>
          <w:sz w:val="26"/>
          <w:u w:val="single"/>
          <w:rtl/>
          <w:lang w:eastAsia="en-US"/>
        </w:rPr>
        <w:t>היקף פעילות הפרוייקט</w:t>
      </w:r>
    </w:p>
    <w:p>
      <w:pPr>
        <w:widowControl w:val="0"/>
        <w:spacing w:line="300" w:lineRule="atLeast"/>
        <w:ind w:left="720"/>
        <w:rPr>
          <w:sz w:val="26"/>
          <w:rtl/>
          <w:lang w:eastAsia="en-US"/>
        </w:rPr>
      </w:pPr>
    </w:p>
    <w:p>
      <w:pPr>
        <w:spacing w:line="276" w:lineRule="auto"/>
        <w:rPr>
          <w:rFonts w:ascii="David" w:hAnsi="David"/>
        </w:rPr>
      </w:pPr>
    </w:p>
    <w:tbl>
      <w:tblPr>
        <w:bidiVisual/>
        <w:tblW w:w="9503" w:type="dxa"/>
        <w:tblInd w:w="152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041"/>
        <w:gridCol w:w="1289"/>
        <w:gridCol w:w="1146"/>
        <w:gridCol w:w="1265"/>
        <w:gridCol w:w="1265"/>
        <w:gridCol w:w="1221"/>
        <w:gridCol w:w="2276"/>
      </w:tblGrid>
      <w:tr>
        <w:trPr>
          <w:trHeight w:val="351"/>
        </w:trPr>
        <w:tc>
          <w:tcPr>
            <w:tcW w:w="1040" w:type="dxa"/>
            <w:vMerge w:val="restart"/>
            <w:tcBorders>
              <w:top w:val="single" w:sz="18" w:space="0" w:color="auto"/>
            </w:tcBorders>
            <w:shd w:val="clear" w:color="auto" w:fill="E0E0E0"/>
            <w:vAlign w:val="center"/>
          </w:tcPr>
          <w:p>
            <w:pPr>
              <w:spacing w:line="280" w:lineRule="atLeast"/>
              <w:jc w:val="center"/>
              <w:rPr>
                <w:b/>
                <w:bCs/>
                <w:rtl/>
              </w:rPr>
            </w:pPr>
            <w:r>
              <w:rPr>
                <w:rFonts w:hint="cs"/>
                <w:b/>
                <w:bCs/>
                <w:rtl/>
              </w:rPr>
              <w:t>סוג הפעילות</w:t>
            </w:r>
          </w:p>
        </w:tc>
        <w:tc>
          <w:tcPr>
            <w:tcW w:w="1302" w:type="dxa"/>
            <w:vMerge w:val="restart"/>
            <w:tcBorders>
              <w:top w:val="single" w:sz="18" w:space="0" w:color="auto"/>
            </w:tcBorders>
            <w:shd w:val="clear" w:color="auto" w:fill="E0E0E0"/>
            <w:vAlign w:val="center"/>
          </w:tcPr>
          <w:p>
            <w:pPr>
              <w:spacing w:line="280" w:lineRule="atLeast"/>
              <w:jc w:val="center"/>
              <w:rPr>
                <w:b/>
                <w:bCs/>
                <w:rtl/>
              </w:rPr>
            </w:pPr>
            <w:r>
              <w:rPr>
                <w:rFonts w:hint="cs"/>
                <w:b/>
                <w:bCs/>
                <w:rtl/>
              </w:rPr>
              <w:t>היקף שעות לפעילות אחת</w:t>
            </w:r>
          </w:p>
        </w:tc>
        <w:tc>
          <w:tcPr>
            <w:tcW w:w="1062" w:type="dxa"/>
            <w:vMerge w:val="restart"/>
            <w:tcBorders>
              <w:top w:val="single" w:sz="18" w:space="0" w:color="auto"/>
            </w:tcBorders>
            <w:shd w:val="clear" w:color="auto" w:fill="E0E0E0"/>
            <w:vAlign w:val="center"/>
          </w:tcPr>
          <w:p>
            <w:pPr>
              <w:spacing w:line="280" w:lineRule="atLeast"/>
              <w:jc w:val="center"/>
              <w:rPr>
                <w:b/>
                <w:bCs/>
                <w:rtl/>
              </w:rPr>
            </w:pPr>
            <w:r>
              <w:rPr>
                <w:rFonts w:hint="cs"/>
                <w:b/>
                <w:bCs/>
                <w:rtl/>
              </w:rPr>
              <w:t>אוכלוסיית יעד</w:t>
            </w:r>
          </w:p>
        </w:tc>
        <w:tc>
          <w:tcPr>
            <w:tcW w:w="3782" w:type="dxa"/>
            <w:gridSpan w:val="3"/>
            <w:tcBorders>
              <w:top w:val="single" w:sz="18" w:space="0" w:color="auto"/>
              <w:bottom w:val="single" w:sz="4" w:space="0" w:color="auto"/>
            </w:tcBorders>
            <w:shd w:val="clear" w:color="auto" w:fill="E0E0E0"/>
          </w:tcPr>
          <w:p>
            <w:pPr>
              <w:spacing w:line="280" w:lineRule="atLeast"/>
              <w:jc w:val="center"/>
              <w:rPr>
                <w:b/>
                <w:bCs/>
                <w:rtl/>
              </w:rPr>
            </w:pPr>
            <w:r>
              <w:rPr>
                <w:rFonts w:hint="cs"/>
                <w:b/>
                <w:bCs/>
                <w:rtl/>
              </w:rPr>
              <w:t>מספר פעילויות משוער לשנה</w:t>
            </w:r>
          </w:p>
        </w:tc>
        <w:tc>
          <w:tcPr>
            <w:tcW w:w="2317" w:type="dxa"/>
            <w:tcBorders>
              <w:top w:val="single" w:sz="18" w:space="0" w:color="auto"/>
              <w:bottom w:val="single" w:sz="4" w:space="0" w:color="auto"/>
            </w:tcBorders>
            <w:shd w:val="clear" w:color="auto" w:fill="E0E0E0"/>
          </w:tcPr>
          <w:p>
            <w:pPr>
              <w:spacing w:line="280" w:lineRule="atLeast"/>
              <w:jc w:val="center"/>
              <w:rPr>
                <w:b/>
                <w:bCs/>
                <w:rtl/>
              </w:rPr>
            </w:pPr>
          </w:p>
        </w:tc>
      </w:tr>
      <w:tr>
        <w:trPr>
          <w:trHeight w:val="538"/>
        </w:trPr>
        <w:tc>
          <w:tcPr>
            <w:tcW w:w="1040" w:type="dxa"/>
            <w:vMerge/>
            <w:tcBorders>
              <w:bottom w:val="single" w:sz="18" w:space="0" w:color="auto"/>
            </w:tcBorders>
            <w:shd w:val="clear" w:color="auto" w:fill="E0E0E0"/>
            <w:vAlign w:val="center"/>
          </w:tcPr>
          <w:p>
            <w:pPr>
              <w:spacing w:line="280" w:lineRule="atLeast"/>
              <w:jc w:val="center"/>
              <w:rPr>
                <w:b/>
                <w:bCs/>
                <w:rtl/>
              </w:rPr>
            </w:pPr>
          </w:p>
        </w:tc>
        <w:tc>
          <w:tcPr>
            <w:tcW w:w="1302" w:type="dxa"/>
            <w:vMerge/>
            <w:tcBorders>
              <w:bottom w:val="single" w:sz="18" w:space="0" w:color="auto"/>
            </w:tcBorders>
            <w:shd w:val="clear" w:color="auto" w:fill="E0E0E0"/>
            <w:vAlign w:val="center"/>
          </w:tcPr>
          <w:p>
            <w:pPr>
              <w:spacing w:line="280" w:lineRule="atLeast"/>
              <w:jc w:val="center"/>
              <w:rPr>
                <w:b/>
                <w:bCs/>
                <w:rtl/>
              </w:rPr>
            </w:pPr>
          </w:p>
        </w:tc>
        <w:tc>
          <w:tcPr>
            <w:tcW w:w="1062" w:type="dxa"/>
            <w:vMerge/>
            <w:tcBorders>
              <w:bottom w:val="single" w:sz="18" w:space="0" w:color="auto"/>
            </w:tcBorders>
            <w:shd w:val="clear" w:color="auto" w:fill="E0E0E0"/>
            <w:vAlign w:val="center"/>
          </w:tcPr>
          <w:p>
            <w:pPr>
              <w:spacing w:line="280" w:lineRule="atLeast"/>
              <w:jc w:val="center"/>
              <w:rPr>
                <w:b/>
                <w:bCs/>
                <w:rtl/>
              </w:rPr>
            </w:pPr>
          </w:p>
        </w:tc>
        <w:tc>
          <w:tcPr>
            <w:tcW w:w="1276" w:type="dxa"/>
            <w:tcBorders>
              <w:top w:val="single" w:sz="4" w:space="0" w:color="auto"/>
              <w:bottom w:val="single" w:sz="18" w:space="0" w:color="auto"/>
            </w:tcBorders>
            <w:shd w:val="clear" w:color="auto" w:fill="E0E0E0"/>
          </w:tcPr>
          <w:p>
            <w:pPr>
              <w:spacing w:line="280" w:lineRule="atLeast"/>
              <w:jc w:val="center"/>
              <w:rPr>
                <w:b/>
                <w:bCs/>
                <w:rtl/>
              </w:rPr>
            </w:pPr>
            <w:r>
              <w:rPr>
                <w:rFonts w:hint="cs"/>
                <w:b/>
                <w:bCs/>
                <w:rtl/>
              </w:rPr>
              <w:t xml:space="preserve">באזור הצפון </w:t>
            </w:r>
          </w:p>
        </w:tc>
        <w:tc>
          <w:tcPr>
            <w:tcW w:w="1276" w:type="dxa"/>
            <w:tcBorders>
              <w:top w:val="single" w:sz="4" w:space="0" w:color="auto"/>
              <w:bottom w:val="single" w:sz="18" w:space="0" w:color="auto"/>
            </w:tcBorders>
            <w:shd w:val="clear" w:color="auto" w:fill="E0E0E0"/>
          </w:tcPr>
          <w:p>
            <w:pPr>
              <w:spacing w:line="280" w:lineRule="atLeast"/>
              <w:jc w:val="center"/>
              <w:rPr>
                <w:b/>
                <w:bCs/>
                <w:rtl/>
              </w:rPr>
            </w:pPr>
            <w:r>
              <w:rPr>
                <w:rFonts w:hint="cs"/>
                <w:b/>
                <w:bCs/>
                <w:rtl/>
              </w:rPr>
              <w:t>באזור המרכז</w:t>
            </w:r>
          </w:p>
        </w:tc>
        <w:tc>
          <w:tcPr>
            <w:tcW w:w="1230" w:type="dxa"/>
            <w:tcBorders>
              <w:top w:val="single" w:sz="4" w:space="0" w:color="auto"/>
              <w:bottom w:val="single" w:sz="18" w:space="0" w:color="auto"/>
            </w:tcBorders>
            <w:shd w:val="clear" w:color="auto" w:fill="E0E0E0"/>
          </w:tcPr>
          <w:p>
            <w:pPr>
              <w:spacing w:line="280" w:lineRule="atLeast"/>
              <w:jc w:val="center"/>
              <w:rPr>
                <w:b/>
                <w:bCs/>
                <w:rtl/>
              </w:rPr>
            </w:pPr>
            <w:r>
              <w:rPr>
                <w:rFonts w:hint="cs"/>
                <w:b/>
                <w:bCs/>
                <w:rtl/>
              </w:rPr>
              <w:t>באזור הדרום</w:t>
            </w:r>
          </w:p>
        </w:tc>
        <w:tc>
          <w:tcPr>
            <w:tcW w:w="2317" w:type="dxa"/>
            <w:tcBorders>
              <w:top w:val="single" w:sz="4" w:space="0" w:color="auto"/>
              <w:bottom w:val="single" w:sz="18" w:space="0" w:color="auto"/>
            </w:tcBorders>
            <w:shd w:val="clear" w:color="auto" w:fill="E0E0E0"/>
          </w:tcPr>
          <w:p>
            <w:pPr>
              <w:spacing w:line="280" w:lineRule="atLeast"/>
              <w:jc w:val="center"/>
              <w:rPr>
                <w:b/>
                <w:bCs/>
                <w:rtl/>
              </w:rPr>
            </w:pPr>
          </w:p>
        </w:tc>
      </w:tr>
      <w:tr>
        <w:tc>
          <w:tcPr>
            <w:tcW w:w="1040" w:type="dxa"/>
            <w:tcBorders>
              <w:top w:val="single" w:sz="18" w:space="0" w:color="auto"/>
              <w:bottom w:val="single" w:sz="4" w:space="0" w:color="auto"/>
            </w:tcBorders>
            <w:vAlign w:val="center"/>
          </w:tcPr>
          <w:p>
            <w:pPr>
              <w:spacing w:line="280" w:lineRule="atLeast"/>
              <w:rPr>
                <w:sz w:val="26"/>
                <w:rtl/>
              </w:rPr>
            </w:pPr>
            <w:r>
              <w:rPr>
                <w:rFonts w:hint="cs"/>
                <w:sz w:val="26"/>
                <w:rtl/>
              </w:rPr>
              <w:t>ימי לימוד אקדמיים</w:t>
            </w:r>
          </w:p>
        </w:tc>
        <w:tc>
          <w:tcPr>
            <w:tcW w:w="1302" w:type="dxa"/>
            <w:tcBorders>
              <w:top w:val="single" w:sz="18" w:space="0" w:color="auto"/>
              <w:bottom w:val="single" w:sz="4" w:space="0" w:color="auto"/>
            </w:tcBorders>
            <w:vAlign w:val="center"/>
          </w:tcPr>
          <w:p>
            <w:pPr>
              <w:spacing w:line="280" w:lineRule="atLeast"/>
              <w:jc w:val="center"/>
              <w:rPr>
                <w:rtl/>
              </w:rPr>
            </w:pPr>
            <w:r>
              <w:rPr>
                <w:rFonts w:hint="cs"/>
                <w:b/>
                <w:bCs/>
                <w:rtl/>
              </w:rPr>
              <w:t>4</w:t>
            </w:r>
            <w:r>
              <w:rPr>
                <w:rFonts w:hint="cs"/>
                <w:rtl/>
              </w:rPr>
              <w:t xml:space="preserve"> שעות לימוד יומיות</w:t>
            </w:r>
          </w:p>
          <w:p>
            <w:pPr>
              <w:spacing w:line="280" w:lineRule="atLeast"/>
              <w:jc w:val="center"/>
              <w:rPr>
                <w:b/>
                <w:bCs/>
                <w:rtl/>
              </w:rPr>
            </w:pPr>
          </w:p>
        </w:tc>
        <w:tc>
          <w:tcPr>
            <w:tcW w:w="1062" w:type="dxa"/>
            <w:tcBorders>
              <w:top w:val="single" w:sz="18" w:space="0" w:color="auto"/>
              <w:bottom w:val="single" w:sz="4" w:space="0" w:color="auto"/>
            </w:tcBorders>
            <w:vAlign w:val="center"/>
          </w:tcPr>
          <w:p>
            <w:pPr>
              <w:spacing w:line="280" w:lineRule="atLeast"/>
              <w:jc w:val="center"/>
              <w:rPr>
                <w:rtl/>
              </w:rPr>
            </w:pPr>
            <w:r>
              <w:rPr>
                <w:rFonts w:hint="cs"/>
                <w:rtl/>
              </w:rPr>
              <w:t>כיתות ה'-ט'</w:t>
            </w:r>
          </w:p>
        </w:tc>
        <w:tc>
          <w:tcPr>
            <w:tcW w:w="1276" w:type="dxa"/>
            <w:tcBorders>
              <w:top w:val="single" w:sz="18" w:space="0" w:color="auto"/>
              <w:bottom w:val="single" w:sz="4" w:space="0" w:color="auto"/>
            </w:tcBorders>
            <w:vAlign w:val="center"/>
          </w:tcPr>
          <w:p>
            <w:pPr>
              <w:spacing w:line="280" w:lineRule="atLeast"/>
              <w:jc w:val="center"/>
              <w:rPr>
                <w:b/>
                <w:bCs/>
                <w:rtl/>
              </w:rPr>
            </w:pPr>
            <w:r>
              <w:rPr>
                <w:rFonts w:hint="cs"/>
                <w:b/>
                <w:bCs/>
                <w:rtl/>
              </w:rPr>
              <w:t>20 ימי לימוד</w:t>
            </w:r>
          </w:p>
        </w:tc>
        <w:tc>
          <w:tcPr>
            <w:tcW w:w="1276" w:type="dxa"/>
            <w:tcBorders>
              <w:top w:val="single" w:sz="18" w:space="0" w:color="auto"/>
              <w:bottom w:val="single" w:sz="4" w:space="0" w:color="auto"/>
            </w:tcBorders>
            <w:vAlign w:val="center"/>
          </w:tcPr>
          <w:p>
            <w:pPr>
              <w:spacing w:line="280" w:lineRule="atLeast"/>
              <w:jc w:val="center"/>
              <w:rPr>
                <w:b/>
                <w:bCs/>
                <w:rtl/>
              </w:rPr>
            </w:pPr>
            <w:r>
              <w:rPr>
                <w:rFonts w:hint="cs"/>
                <w:b/>
                <w:bCs/>
                <w:rtl/>
              </w:rPr>
              <w:t>60 ימי לימוד</w:t>
            </w:r>
          </w:p>
        </w:tc>
        <w:tc>
          <w:tcPr>
            <w:tcW w:w="1230" w:type="dxa"/>
            <w:tcBorders>
              <w:top w:val="single" w:sz="18" w:space="0" w:color="auto"/>
              <w:bottom w:val="single" w:sz="4" w:space="0" w:color="auto"/>
            </w:tcBorders>
            <w:vAlign w:val="center"/>
          </w:tcPr>
          <w:p>
            <w:pPr>
              <w:spacing w:line="280" w:lineRule="atLeast"/>
              <w:jc w:val="center"/>
              <w:rPr>
                <w:b/>
                <w:bCs/>
                <w:rtl/>
              </w:rPr>
            </w:pPr>
          </w:p>
          <w:p>
            <w:pPr>
              <w:spacing w:line="280" w:lineRule="atLeast"/>
              <w:jc w:val="center"/>
              <w:rPr>
                <w:b/>
                <w:bCs/>
                <w:rtl/>
              </w:rPr>
            </w:pPr>
            <w:r>
              <w:rPr>
                <w:rFonts w:hint="cs"/>
                <w:b/>
                <w:bCs/>
                <w:rtl/>
              </w:rPr>
              <w:t>20 ימי לימוד</w:t>
            </w:r>
          </w:p>
          <w:p>
            <w:pPr>
              <w:spacing w:line="280" w:lineRule="atLeast"/>
              <w:jc w:val="center"/>
              <w:rPr>
                <w:b/>
                <w:bCs/>
                <w:rtl/>
              </w:rPr>
            </w:pPr>
          </w:p>
        </w:tc>
        <w:tc>
          <w:tcPr>
            <w:tcW w:w="2317" w:type="dxa"/>
            <w:tcBorders>
              <w:top w:val="single" w:sz="18" w:space="0" w:color="auto"/>
              <w:bottom w:val="single" w:sz="4" w:space="0" w:color="auto"/>
            </w:tcBorders>
          </w:tcPr>
          <w:p>
            <w:pPr>
              <w:spacing w:line="280" w:lineRule="atLeast"/>
              <w:jc w:val="left"/>
              <w:rPr>
                <w:rtl/>
              </w:rPr>
            </w:pPr>
            <w:r>
              <w:rPr>
                <w:rFonts w:hint="cs"/>
                <w:rtl/>
              </w:rPr>
              <w:t>בית ספר רשאי לבחור עד 2 ימי לימוד אקדמיים לכיתה לאורך השנה מתוך מגוון נושאים שונים.</w:t>
            </w:r>
          </w:p>
          <w:p>
            <w:pPr>
              <w:spacing w:line="280" w:lineRule="atLeast"/>
              <w:jc w:val="left"/>
              <w:rPr>
                <w:rtl/>
              </w:rPr>
            </w:pPr>
          </w:p>
        </w:tc>
      </w:tr>
      <w:tr>
        <w:tc>
          <w:tcPr>
            <w:tcW w:w="1040" w:type="dxa"/>
            <w:tcBorders>
              <w:top w:val="single" w:sz="4" w:space="0" w:color="auto"/>
            </w:tcBorders>
            <w:vAlign w:val="center"/>
          </w:tcPr>
          <w:p>
            <w:pPr>
              <w:spacing w:line="280" w:lineRule="atLeast"/>
              <w:rPr>
                <w:rtl/>
              </w:rPr>
            </w:pPr>
            <w:r>
              <w:rPr>
                <w:rFonts w:hint="cs"/>
                <w:sz w:val="26"/>
                <w:rtl/>
              </w:rPr>
              <w:t>ימי לימוד אקדמיים</w:t>
            </w:r>
          </w:p>
        </w:tc>
        <w:tc>
          <w:tcPr>
            <w:tcW w:w="1302" w:type="dxa"/>
            <w:tcBorders>
              <w:top w:val="single" w:sz="4" w:space="0" w:color="auto"/>
            </w:tcBorders>
            <w:vAlign w:val="center"/>
          </w:tcPr>
          <w:p>
            <w:pPr>
              <w:spacing w:line="280" w:lineRule="atLeast"/>
              <w:jc w:val="center"/>
              <w:rPr>
                <w:rtl/>
              </w:rPr>
            </w:pPr>
            <w:r>
              <w:rPr>
                <w:rFonts w:hint="cs"/>
                <w:b/>
                <w:bCs/>
                <w:rtl/>
              </w:rPr>
              <w:t>6</w:t>
            </w:r>
            <w:r>
              <w:rPr>
                <w:rFonts w:hint="cs"/>
                <w:rtl/>
              </w:rPr>
              <w:t xml:space="preserve"> שעות לימוד יומיות</w:t>
            </w:r>
          </w:p>
          <w:p>
            <w:pPr>
              <w:spacing w:line="280" w:lineRule="atLeast"/>
              <w:jc w:val="center"/>
              <w:rPr>
                <w:rtl/>
              </w:rPr>
            </w:pPr>
          </w:p>
        </w:tc>
        <w:tc>
          <w:tcPr>
            <w:tcW w:w="1062" w:type="dxa"/>
            <w:tcBorders>
              <w:top w:val="single" w:sz="4" w:space="0" w:color="auto"/>
            </w:tcBorders>
            <w:vAlign w:val="center"/>
          </w:tcPr>
          <w:p>
            <w:pPr>
              <w:spacing w:line="280" w:lineRule="atLeast"/>
              <w:jc w:val="center"/>
              <w:rPr>
                <w:rtl/>
              </w:rPr>
            </w:pPr>
            <w:r>
              <w:rPr>
                <w:rFonts w:hint="cs"/>
                <w:rtl/>
              </w:rPr>
              <w:t>כיתות י'-יב'</w:t>
            </w:r>
          </w:p>
        </w:tc>
        <w:tc>
          <w:tcPr>
            <w:tcW w:w="1276" w:type="dxa"/>
            <w:tcBorders>
              <w:top w:val="single" w:sz="4" w:space="0" w:color="auto"/>
            </w:tcBorders>
            <w:vAlign w:val="center"/>
          </w:tcPr>
          <w:p>
            <w:pPr>
              <w:spacing w:line="280" w:lineRule="atLeast"/>
              <w:jc w:val="center"/>
              <w:rPr>
                <w:b/>
                <w:bCs/>
                <w:rtl/>
              </w:rPr>
            </w:pPr>
            <w:r>
              <w:rPr>
                <w:rFonts w:hint="cs"/>
                <w:b/>
                <w:bCs/>
                <w:rtl/>
              </w:rPr>
              <w:t>10 ימי לימוד</w:t>
            </w:r>
          </w:p>
        </w:tc>
        <w:tc>
          <w:tcPr>
            <w:tcW w:w="1276" w:type="dxa"/>
            <w:tcBorders>
              <w:top w:val="single" w:sz="4" w:space="0" w:color="auto"/>
            </w:tcBorders>
            <w:vAlign w:val="center"/>
          </w:tcPr>
          <w:p>
            <w:pPr>
              <w:spacing w:line="280" w:lineRule="atLeast"/>
              <w:jc w:val="center"/>
              <w:rPr>
                <w:b/>
                <w:bCs/>
                <w:rtl/>
              </w:rPr>
            </w:pPr>
            <w:r>
              <w:rPr>
                <w:rFonts w:hint="cs"/>
                <w:b/>
                <w:bCs/>
                <w:rtl/>
              </w:rPr>
              <w:t>14 ימי לימוד</w:t>
            </w:r>
          </w:p>
        </w:tc>
        <w:tc>
          <w:tcPr>
            <w:tcW w:w="1230" w:type="dxa"/>
            <w:tcBorders>
              <w:top w:val="single" w:sz="4" w:space="0" w:color="auto"/>
            </w:tcBorders>
            <w:vAlign w:val="center"/>
          </w:tcPr>
          <w:p>
            <w:pPr>
              <w:spacing w:line="280" w:lineRule="atLeast"/>
              <w:jc w:val="center"/>
              <w:rPr>
                <w:b/>
                <w:bCs/>
              </w:rPr>
            </w:pPr>
            <w:r>
              <w:rPr>
                <w:rFonts w:hint="cs"/>
                <w:b/>
                <w:bCs/>
                <w:rtl/>
              </w:rPr>
              <w:t>6 ימי לימוד</w:t>
            </w:r>
          </w:p>
        </w:tc>
        <w:tc>
          <w:tcPr>
            <w:tcW w:w="2317" w:type="dxa"/>
            <w:tcBorders>
              <w:top w:val="single" w:sz="4" w:space="0" w:color="auto"/>
            </w:tcBorders>
          </w:tcPr>
          <w:p>
            <w:pPr>
              <w:spacing w:line="280" w:lineRule="atLeast"/>
              <w:jc w:val="left"/>
              <w:rPr>
                <w:sz w:val="26"/>
                <w:rtl/>
              </w:rPr>
            </w:pPr>
            <w:r>
              <w:rPr>
                <w:rFonts w:hint="cs"/>
                <w:sz w:val="26"/>
                <w:rtl/>
              </w:rPr>
              <w:t>בית ספר רשאי לבחור עד 2 ימי לימוד אקדמיים לכיתה לאורך השנה מתוך מגוון נושאים שונים.</w:t>
            </w:r>
          </w:p>
          <w:p>
            <w:pPr>
              <w:spacing w:line="280" w:lineRule="atLeast"/>
              <w:jc w:val="left"/>
              <w:rPr>
                <w:rtl/>
              </w:rPr>
            </w:pPr>
          </w:p>
        </w:tc>
      </w:tr>
      <w:tr>
        <w:trPr>
          <w:trHeight w:val="370"/>
        </w:trPr>
        <w:tc>
          <w:tcPr>
            <w:tcW w:w="1040" w:type="dxa"/>
            <w:vAlign w:val="center"/>
          </w:tcPr>
          <w:p>
            <w:pPr>
              <w:spacing w:line="240" w:lineRule="auto"/>
              <w:rPr>
                <w:rtl/>
              </w:rPr>
            </w:pPr>
            <w:r>
              <w:rPr>
                <w:rFonts w:hint="cs"/>
                <w:sz w:val="26"/>
                <w:rtl/>
              </w:rPr>
              <w:lastRenderedPageBreak/>
              <w:t>מפגשים מדעיים</w:t>
            </w:r>
            <w:r>
              <w:rPr>
                <w:rFonts w:hint="cs"/>
                <w:rtl/>
              </w:rPr>
              <w:t xml:space="preserve"> ארציים </w:t>
            </w:r>
          </w:p>
        </w:tc>
        <w:tc>
          <w:tcPr>
            <w:tcW w:w="1302" w:type="dxa"/>
            <w:vAlign w:val="center"/>
          </w:tcPr>
          <w:p>
            <w:pPr>
              <w:spacing w:line="280" w:lineRule="atLeast"/>
              <w:jc w:val="center"/>
              <w:rPr>
                <w:rtl/>
              </w:rPr>
            </w:pPr>
            <w:r>
              <w:rPr>
                <w:rFonts w:hint="cs"/>
                <w:b/>
                <w:bCs/>
                <w:rtl/>
              </w:rPr>
              <w:t>6</w:t>
            </w:r>
            <w:r>
              <w:rPr>
                <w:rFonts w:hint="cs"/>
                <w:rtl/>
              </w:rPr>
              <w:t xml:space="preserve"> שעות מפגש יומיות</w:t>
            </w:r>
          </w:p>
        </w:tc>
        <w:tc>
          <w:tcPr>
            <w:tcW w:w="1062" w:type="dxa"/>
            <w:vAlign w:val="center"/>
          </w:tcPr>
          <w:p>
            <w:pPr>
              <w:spacing w:line="280" w:lineRule="atLeast"/>
              <w:jc w:val="center"/>
              <w:rPr>
                <w:rtl/>
              </w:rPr>
            </w:pPr>
            <w:r>
              <w:rPr>
                <w:rFonts w:hint="cs"/>
                <w:rtl/>
              </w:rPr>
              <w:t xml:space="preserve">כיתות ז' </w:t>
            </w:r>
            <w:r>
              <w:rPr>
                <w:rtl/>
              </w:rPr>
              <w:t>–</w:t>
            </w:r>
            <w:r>
              <w:rPr>
                <w:rFonts w:hint="cs"/>
                <w:rtl/>
              </w:rPr>
              <w:t xml:space="preserve"> יב</w:t>
            </w:r>
            <w:smartTag w:uri="urn:schemas-microsoft-com:office:smarttags" w:element="PersonName">
              <w:r>
                <w:rPr>
                  <w:rFonts w:hint="cs"/>
                  <w:rtl/>
                </w:rPr>
                <w:t>'</w:t>
              </w:r>
            </w:smartTag>
          </w:p>
        </w:tc>
        <w:tc>
          <w:tcPr>
            <w:tcW w:w="1276" w:type="dxa"/>
            <w:vAlign w:val="center"/>
          </w:tcPr>
          <w:p>
            <w:pPr>
              <w:spacing w:line="280" w:lineRule="atLeast"/>
              <w:jc w:val="center"/>
              <w:rPr>
                <w:b/>
                <w:bCs/>
                <w:rtl/>
              </w:rPr>
            </w:pPr>
            <w:r>
              <w:rPr>
                <w:rFonts w:hint="cs"/>
                <w:b/>
                <w:bCs/>
                <w:rtl/>
              </w:rPr>
              <w:t>--</w:t>
            </w:r>
          </w:p>
        </w:tc>
        <w:tc>
          <w:tcPr>
            <w:tcW w:w="1276" w:type="dxa"/>
            <w:vAlign w:val="center"/>
          </w:tcPr>
          <w:p>
            <w:pPr>
              <w:spacing w:line="280" w:lineRule="atLeast"/>
              <w:jc w:val="center"/>
              <w:rPr>
                <w:b/>
                <w:bCs/>
                <w:rtl/>
              </w:rPr>
            </w:pPr>
            <w:r>
              <w:rPr>
                <w:rFonts w:hint="cs"/>
                <w:b/>
                <w:bCs/>
                <w:rtl/>
              </w:rPr>
              <w:t>3 מפגשים ארציים</w:t>
            </w:r>
          </w:p>
        </w:tc>
        <w:tc>
          <w:tcPr>
            <w:tcW w:w="1230" w:type="dxa"/>
            <w:vAlign w:val="center"/>
          </w:tcPr>
          <w:p>
            <w:pPr>
              <w:spacing w:line="280" w:lineRule="atLeast"/>
              <w:jc w:val="center"/>
              <w:rPr>
                <w:b/>
                <w:bCs/>
                <w:rtl/>
              </w:rPr>
            </w:pPr>
            <w:r>
              <w:rPr>
                <w:rFonts w:hint="cs"/>
                <w:b/>
                <w:bCs/>
                <w:rtl/>
              </w:rPr>
              <w:t>--</w:t>
            </w:r>
          </w:p>
        </w:tc>
        <w:tc>
          <w:tcPr>
            <w:tcW w:w="2317" w:type="dxa"/>
          </w:tcPr>
          <w:p>
            <w:pPr>
              <w:spacing w:line="280" w:lineRule="atLeast"/>
              <w:jc w:val="left"/>
            </w:pPr>
            <w:r>
              <w:rPr>
                <w:rFonts w:hint="cs"/>
                <w:rtl/>
              </w:rPr>
              <w:t>אל המפגש הארצי יוזמנו תלמידי כיתות מחוננים מכל הארץ וללא קשר לאזור עליו אחראי הספק</w:t>
            </w:r>
            <w:r>
              <w:t>:</w:t>
            </w:r>
          </w:p>
          <w:p>
            <w:pPr>
              <w:spacing w:line="280" w:lineRule="atLeast"/>
              <w:jc w:val="left"/>
              <w:rPr>
                <w:rtl/>
              </w:rPr>
            </w:pPr>
          </w:p>
          <w:p>
            <w:pPr>
              <w:numPr>
                <w:ilvl w:val="4"/>
                <w:numId w:val="23"/>
              </w:numPr>
              <w:tabs>
                <w:tab w:val="clear" w:pos="3960"/>
                <w:tab w:val="num" w:pos="3402"/>
              </w:tabs>
              <w:spacing w:line="280" w:lineRule="atLeast"/>
              <w:ind w:left="0"/>
              <w:jc w:val="left"/>
            </w:pPr>
            <w:r>
              <w:rPr>
                <w:rFonts w:hint="cs"/>
                <w:rtl/>
              </w:rPr>
              <w:t>מפגש לתלמידים משכבת גיל אחת בחט"ב בהיקף של כ- 400 תלמידים.</w:t>
            </w:r>
          </w:p>
          <w:p>
            <w:pPr>
              <w:spacing w:line="280" w:lineRule="atLeast"/>
              <w:jc w:val="left"/>
            </w:pPr>
          </w:p>
          <w:p>
            <w:pPr>
              <w:numPr>
                <w:ilvl w:val="4"/>
                <w:numId w:val="23"/>
              </w:numPr>
              <w:tabs>
                <w:tab w:val="clear" w:pos="3960"/>
                <w:tab w:val="num" w:pos="3402"/>
                <w:tab w:val="num" w:pos="4385"/>
              </w:tabs>
              <w:spacing w:line="280" w:lineRule="atLeast"/>
              <w:ind w:left="0"/>
              <w:jc w:val="left"/>
            </w:pPr>
            <w:r>
              <w:rPr>
                <w:rFonts w:hint="cs"/>
                <w:rtl/>
              </w:rPr>
              <w:t>מפגש לתלמידים משכבת גיל אחת בחט"ע בהיקף של כ- 400 תלמידים.</w:t>
            </w:r>
          </w:p>
          <w:p>
            <w:pPr>
              <w:spacing w:line="280" w:lineRule="atLeast"/>
              <w:jc w:val="left"/>
            </w:pPr>
          </w:p>
          <w:p>
            <w:pPr>
              <w:numPr>
                <w:ilvl w:val="4"/>
                <w:numId w:val="23"/>
              </w:numPr>
              <w:tabs>
                <w:tab w:val="clear" w:pos="3960"/>
                <w:tab w:val="num" w:pos="3402"/>
                <w:tab w:val="num" w:pos="4385"/>
              </w:tabs>
              <w:spacing w:line="280" w:lineRule="atLeast"/>
              <w:ind w:left="0"/>
              <w:jc w:val="left"/>
            </w:pPr>
            <w:r>
              <w:rPr>
                <w:rFonts w:hint="cs"/>
                <w:rtl/>
              </w:rPr>
              <w:t xml:space="preserve">מפגש לתלמידים מכיתות מחוננים, שנושאו והרכב משתתפיו יקבע ע"י האגף למחוננים, בהיקף של כ- 400 משתתפים. </w:t>
            </w:r>
          </w:p>
          <w:p>
            <w:pPr>
              <w:spacing w:line="280" w:lineRule="atLeast"/>
              <w:jc w:val="left"/>
              <w:rPr>
                <w:rtl/>
              </w:rPr>
            </w:pPr>
          </w:p>
        </w:tc>
      </w:tr>
      <w:tr>
        <w:trPr>
          <w:trHeight w:val="427"/>
        </w:trPr>
        <w:tc>
          <w:tcPr>
            <w:tcW w:w="1040" w:type="dxa"/>
            <w:vAlign w:val="center"/>
          </w:tcPr>
          <w:p>
            <w:pPr>
              <w:spacing w:line="280" w:lineRule="atLeast"/>
              <w:rPr>
                <w:sz w:val="26"/>
                <w:rtl/>
              </w:rPr>
            </w:pPr>
            <w:bookmarkStart w:id="22" w:name="_Hlk172547491"/>
            <w:r>
              <w:rPr>
                <w:rFonts w:hint="cs"/>
                <w:sz w:val="26"/>
                <w:rtl/>
              </w:rPr>
              <w:t>קורסים מדעיים</w:t>
            </w:r>
          </w:p>
        </w:tc>
        <w:tc>
          <w:tcPr>
            <w:tcW w:w="1302" w:type="dxa"/>
            <w:vAlign w:val="center"/>
          </w:tcPr>
          <w:p>
            <w:pPr>
              <w:spacing w:line="280" w:lineRule="atLeast"/>
              <w:jc w:val="center"/>
              <w:rPr>
                <w:rtl/>
              </w:rPr>
            </w:pPr>
            <w:r>
              <w:rPr>
                <w:rFonts w:hint="cs"/>
                <w:b/>
                <w:bCs/>
                <w:rtl/>
              </w:rPr>
              <w:t>סה"כ 24</w:t>
            </w:r>
            <w:r>
              <w:rPr>
                <w:rFonts w:hint="cs"/>
                <w:rtl/>
              </w:rPr>
              <w:t xml:space="preserve"> שעות לקורס (4 מפגשים בני 6 שעות כל אחד)</w:t>
            </w:r>
          </w:p>
        </w:tc>
        <w:tc>
          <w:tcPr>
            <w:tcW w:w="1062" w:type="dxa"/>
            <w:vAlign w:val="center"/>
          </w:tcPr>
          <w:p>
            <w:pPr>
              <w:spacing w:line="280" w:lineRule="atLeast"/>
              <w:jc w:val="center"/>
              <w:rPr>
                <w:rtl/>
              </w:rPr>
            </w:pPr>
            <w:r>
              <w:rPr>
                <w:rFonts w:hint="cs"/>
                <w:rtl/>
              </w:rPr>
              <w:t xml:space="preserve">כיתות חט"ב חט"ע </w:t>
            </w:r>
          </w:p>
        </w:tc>
        <w:tc>
          <w:tcPr>
            <w:tcW w:w="1276" w:type="dxa"/>
            <w:vAlign w:val="center"/>
          </w:tcPr>
          <w:p>
            <w:pPr>
              <w:spacing w:line="280" w:lineRule="atLeast"/>
              <w:jc w:val="center"/>
              <w:rPr>
                <w:b/>
                <w:bCs/>
                <w:rtl/>
              </w:rPr>
            </w:pPr>
            <w:r>
              <w:rPr>
                <w:b/>
                <w:bCs/>
              </w:rPr>
              <w:t>2</w:t>
            </w:r>
            <w:r>
              <w:rPr>
                <w:rFonts w:hint="cs"/>
                <w:b/>
                <w:bCs/>
                <w:rtl/>
              </w:rPr>
              <w:t xml:space="preserve"> כיתות </w:t>
            </w:r>
          </w:p>
          <w:p>
            <w:pPr>
              <w:spacing w:line="280" w:lineRule="atLeast"/>
              <w:jc w:val="center"/>
              <w:rPr>
                <w:b/>
                <w:bCs/>
                <w:rtl/>
              </w:rPr>
            </w:pPr>
          </w:p>
          <w:p>
            <w:pPr>
              <w:spacing w:line="280" w:lineRule="atLeast"/>
              <w:jc w:val="center"/>
              <w:rPr>
                <w:b/>
                <w:bCs/>
                <w:rtl/>
              </w:rPr>
            </w:pPr>
            <w:r>
              <w:rPr>
                <w:rFonts w:hint="cs"/>
                <w:b/>
                <w:bCs/>
                <w:rtl/>
              </w:rPr>
              <w:t>(</w:t>
            </w:r>
            <w:r>
              <w:rPr>
                <w:rFonts w:hint="cs"/>
                <w:rtl/>
              </w:rPr>
              <w:t>4 מפגשים לכל כיתה ובסה"כ 8 מפגשים</w:t>
            </w:r>
            <w:r>
              <w:rPr>
                <w:rFonts w:hint="cs"/>
                <w:b/>
                <w:bCs/>
                <w:rtl/>
              </w:rPr>
              <w:t>)</w:t>
            </w:r>
          </w:p>
        </w:tc>
        <w:tc>
          <w:tcPr>
            <w:tcW w:w="1276" w:type="dxa"/>
            <w:vAlign w:val="center"/>
          </w:tcPr>
          <w:p>
            <w:pPr>
              <w:spacing w:line="280" w:lineRule="atLeast"/>
              <w:jc w:val="center"/>
              <w:rPr>
                <w:b/>
                <w:bCs/>
                <w:rtl/>
              </w:rPr>
            </w:pPr>
            <w:r>
              <w:rPr>
                <w:b/>
                <w:bCs/>
              </w:rPr>
              <w:t>3</w:t>
            </w:r>
            <w:r>
              <w:rPr>
                <w:rFonts w:hint="cs"/>
                <w:b/>
                <w:bCs/>
                <w:rtl/>
              </w:rPr>
              <w:t xml:space="preserve"> כיתות</w:t>
            </w:r>
          </w:p>
          <w:p>
            <w:pPr>
              <w:spacing w:line="280" w:lineRule="atLeast"/>
              <w:jc w:val="center"/>
              <w:rPr>
                <w:b/>
                <w:bCs/>
                <w:rtl/>
              </w:rPr>
            </w:pPr>
          </w:p>
          <w:p>
            <w:pPr>
              <w:spacing w:line="280" w:lineRule="atLeast"/>
              <w:jc w:val="center"/>
              <w:rPr>
                <w:b/>
                <w:bCs/>
                <w:rtl/>
              </w:rPr>
            </w:pPr>
            <w:r>
              <w:rPr>
                <w:rFonts w:hint="cs"/>
                <w:b/>
                <w:bCs/>
                <w:rtl/>
              </w:rPr>
              <w:t>(</w:t>
            </w:r>
            <w:r>
              <w:rPr>
                <w:rFonts w:hint="cs"/>
                <w:rtl/>
              </w:rPr>
              <w:t>4 מפגשים לכל כיתה ובסה"כ 12 מפגשים</w:t>
            </w:r>
            <w:r>
              <w:rPr>
                <w:rFonts w:hint="cs"/>
                <w:b/>
                <w:bCs/>
                <w:rtl/>
              </w:rPr>
              <w:t>)</w:t>
            </w:r>
          </w:p>
        </w:tc>
        <w:tc>
          <w:tcPr>
            <w:tcW w:w="1230" w:type="dxa"/>
            <w:vAlign w:val="center"/>
          </w:tcPr>
          <w:p>
            <w:pPr>
              <w:spacing w:line="280" w:lineRule="atLeast"/>
              <w:jc w:val="center"/>
              <w:rPr>
                <w:b/>
                <w:bCs/>
                <w:rtl/>
              </w:rPr>
            </w:pPr>
            <w:r>
              <w:rPr>
                <w:rFonts w:hint="cs"/>
                <w:b/>
                <w:bCs/>
                <w:rtl/>
              </w:rPr>
              <w:t>2 כיתות</w:t>
            </w:r>
          </w:p>
          <w:p>
            <w:pPr>
              <w:spacing w:line="280" w:lineRule="atLeast"/>
              <w:jc w:val="center"/>
              <w:rPr>
                <w:b/>
                <w:bCs/>
                <w:rtl/>
              </w:rPr>
            </w:pPr>
          </w:p>
          <w:p>
            <w:pPr>
              <w:spacing w:line="280" w:lineRule="atLeast"/>
              <w:jc w:val="center"/>
              <w:rPr>
                <w:b/>
                <w:bCs/>
                <w:rtl/>
              </w:rPr>
            </w:pPr>
            <w:r>
              <w:rPr>
                <w:rFonts w:hint="cs"/>
                <w:b/>
                <w:bCs/>
                <w:rtl/>
              </w:rPr>
              <w:t>(</w:t>
            </w:r>
            <w:r>
              <w:rPr>
                <w:rFonts w:hint="cs"/>
                <w:rtl/>
              </w:rPr>
              <w:t>4 מפגשים לכל כיתה ובסה"כ 8 מפגשים</w:t>
            </w:r>
            <w:r>
              <w:rPr>
                <w:rFonts w:hint="cs"/>
                <w:b/>
                <w:bCs/>
                <w:rtl/>
              </w:rPr>
              <w:t>)</w:t>
            </w:r>
          </w:p>
        </w:tc>
        <w:tc>
          <w:tcPr>
            <w:tcW w:w="2317" w:type="dxa"/>
          </w:tcPr>
          <w:p>
            <w:pPr>
              <w:spacing w:line="280" w:lineRule="atLeast"/>
            </w:pPr>
            <w:r>
              <w:rPr>
                <w:rtl/>
              </w:rPr>
              <w:t>בית ספר רשאי לבחור קורס מדעי לכיתה אחת בבית ספרו בחט"ב / חט"ע, המשרד ישקול את בקשתו</w:t>
            </w:r>
            <w:r>
              <w:rPr>
                <w:rFonts w:hint="cs"/>
                <w:rtl/>
              </w:rPr>
              <w:t xml:space="preserve"> יחד עם בקשות בתי ספר אחרים. </w:t>
            </w:r>
          </w:p>
          <w:p>
            <w:pPr>
              <w:spacing w:line="280" w:lineRule="atLeast"/>
              <w:rPr>
                <w:rtl/>
              </w:rPr>
            </w:pPr>
          </w:p>
          <w:p>
            <w:pPr>
              <w:spacing w:line="280" w:lineRule="atLeast"/>
            </w:pPr>
            <w:r>
              <w:rPr>
                <w:rFonts w:hint="cs"/>
                <w:rtl/>
              </w:rPr>
              <w:t>במסגרת שיקול הדעת, המשרד שומר לעצמו את הזכות לקחת בחשבון את הבחירה בקורסים מדעיים שנבחרו ע"י בית הספר בעבר ובבתי ספר שטרם ממישו בחירה זו.</w:t>
            </w:r>
          </w:p>
          <w:p>
            <w:pPr>
              <w:spacing w:line="280" w:lineRule="atLeast"/>
              <w:rPr>
                <w:rtl/>
              </w:rPr>
            </w:pPr>
          </w:p>
          <w:p>
            <w:pPr>
              <w:spacing w:line="280" w:lineRule="atLeast"/>
              <w:jc w:val="center"/>
              <w:rPr>
                <w:rtl/>
              </w:rPr>
            </w:pPr>
          </w:p>
        </w:tc>
      </w:tr>
      <w:tr>
        <w:tc>
          <w:tcPr>
            <w:tcW w:w="1040" w:type="dxa"/>
            <w:vAlign w:val="center"/>
          </w:tcPr>
          <w:p>
            <w:pPr>
              <w:spacing w:line="280" w:lineRule="atLeast"/>
              <w:rPr>
                <w:rtl/>
              </w:rPr>
            </w:pPr>
            <w:r>
              <w:rPr>
                <w:rFonts w:hint="cs"/>
                <w:rtl/>
              </w:rPr>
              <w:t>סמינר אקדמי מחקרי בתחומי, מדעי הרוח והחברה ובתחומי מדעי החיים</w:t>
            </w:r>
          </w:p>
        </w:tc>
        <w:tc>
          <w:tcPr>
            <w:tcW w:w="1302" w:type="dxa"/>
            <w:vAlign w:val="center"/>
          </w:tcPr>
          <w:p>
            <w:pPr>
              <w:spacing w:line="280" w:lineRule="atLeast"/>
              <w:jc w:val="center"/>
              <w:rPr>
                <w:b/>
                <w:bCs/>
                <w:rtl/>
              </w:rPr>
            </w:pPr>
            <w:r>
              <w:rPr>
                <w:rFonts w:hint="cs"/>
                <w:b/>
                <w:bCs/>
                <w:rtl/>
              </w:rPr>
              <w:t>30 שעות</w:t>
            </w:r>
          </w:p>
          <w:p>
            <w:pPr>
              <w:spacing w:line="280" w:lineRule="atLeast"/>
              <w:jc w:val="center"/>
              <w:rPr>
                <w:rtl/>
              </w:rPr>
            </w:pPr>
            <w:r>
              <w:rPr>
                <w:rFonts w:hint="cs"/>
                <w:rtl/>
              </w:rPr>
              <w:t>(5 מפגשים בני 6 שעות)</w:t>
            </w:r>
          </w:p>
        </w:tc>
        <w:tc>
          <w:tcPr>
            <w:tcW w:w="1062" w:type="dxa"/>
            <w:vAlign w:val="center"/>
          </w:tcPr>
          <w:p>
            <w:pPr>
              <w:spacing w:line="280" w:lineRule="atLeast"/>
              <w:jc w:val="center"/>
              <w:rPr>
                <w:rtl/>
              </w:rPr>
            </w:pPr>
            <w:r>
              <w:rPr>
                <w:rFonts w:hint="cs"/>
                <w:rtl/>
              </w:rPr>
              <w:t>כיתות י</w:t>
            </w:r>
            <w:smartTag w:uri="urn:schemas-microsoft-com:office:smarttags" w:element="PersonName">
              <w:r>
                <w:rPr>
                  <w:rFonts w:hint="cs"/>
                  <w:rtl/>
                </w:rPr>
                <w:t>'</w:t>
              </w:r>
            </w:smartTag>
            <w:r>
              <w:rPr>
                <w:rFonts w:hint="cs"/>
                <w:rtl/>
              </w:rPr>
              <w:t>-יב</w:t>
            </w:r>
          </w:p>
        </w:tc>
        <w:tc>
          <w:tcPr>
            <w:tcW w:w="1276" w:type="dxa"/>
            <w:vAlign w:val="center"/>
          </w:tcPr>
          <w:p>
            <w:pPr>
              <w:spacing w:line="280" w:lineRule="atLeast"/>
              <w:jc w:val="center"/>
              <w:rPr>
                <w:b/>
                <w:bCs/>
                <w:rtl/>
              </w:rPr>
            </w:pPr>
            <w:r>
              <w:rPr>
                <w:rFonts w:hint="cs"/>
                <w:b/>
                <w:bCs/>
                <w:rtl/>
              </w:rPr>
              <w:t xml:space="preserve">2 כיתות </w:t>
            </w:r>
          </w:p>
          <w:p>
            <w:pPr>
              <w:spacing w:line="280" w:lineRule="atLeast"/>
              <w:jc w:val="center"/>
              <w:rPr>
                <w:b/>
                <w:bCs/>
                <w:rtl/>
              </w:rPr>
            </w:pPr>
          </w:p>
          <w:p>
            <w:pPr>
              <w:spacing w:line="280" w:lineRule="atLeast"/>
              <w:jc w:val="center"/>
              <w:rPr>
                <w:b/>
                <w:bCs/>
                <w:rtl/>
              </w:rPr>
            </w:pPr>
            <w:r>
              <w:rPr>
                <w:rFonts w:hint="cs"/>
                <w:b/>
                <w:bCs/>
                <w:rtl/>
              </w:rPr>
              <w:t>(</w:t>
            </w:r>
            <w:r>
              <w:rPr>
                <w:rFonts w:hint="cs"/>
                <w:rtl/>
              </w:rPr>
              <w:t>5 מפגשים לכל כיתה ובסה"כ  10 מפגשים</w:t>
            </w:r>
            <w:r>
              <w:rPr>
                <w:rFonts w:hint="cs"/>
                <w:b/>
                <w:bCs/>
                <w:rtl/>
              </w:rPr>
              <w:t>)</w:t>
            </w:r>
          </w:p>
        </w:tc>
        <w:tc>
          <w:tcPr>
            <w:tcW w:w="1276" w:type="dxa"/>
            <w:vAlign w:val="center"/>
          </w:tcPr>
          <w:p>
            <w:pPr>
              <w:spacing w:line="280" w:lineRule="atLeast"/>
              <w:jc w:val="center"/>
              <w:rPr>
                <w:b/>
                <w:bCs/>
                <w:rtl/>
              </w:rPr>
            </w:pPr>
            <w:r>
              <w:rPr>
                <w:rFonts w:hint="cs"/>
                <w:b/>
                <w:bCs/>
                <w:rtl/>
              </w:rPr>
              <w:t>2 כיתות</w:t>
            </w:r>
          </w:p>
          <w:p>
            <w:pPr>
              <w:spacing w:line="280" w:lineRule="atLeast"/>
              <w:jc w:val="center"/>
              <w:rPr>
                <w:b/>
                <w:bCs/>
                <w:rtl/>
              </w:rPr>
            </w:pPr>
          </w:p>
          <w:p>
            <w:pPr>
              <w:spacing w:line="280" w:lineRule="atLeast"/>
              <w:jc w:val="center"/>
              <w:rPr>
                <w:rtl/>
              </w:rPr>
            </w:pPr>
            <w:r>
              <w:rPr>
                <w:rFonts w:hint="cs"/>
                <w:rtl/>
              </w:rPr>
              <w:t>(5 מפגשים לכל כיתה ובסה"כ  10 מפגשים)</w:t>
            </w:r>
          </w:p>
        </w:tc>
        <w:tc>
          <w:tcPr>
            <w:tcW w:w="1230" w:type="dxa"/>
            <w:vAlign w:val="center"/>
          </w:tcPr>
          <w:p>
            <w:pPr>
              <w:spacing w:line="280" w:lineRule="atLeast"/>
              <w:jc w:val="center"/>
              <w:rPr>
                <w:b/>
                <w:bCs/>
                <w:rtl/>
              </w:rPr>
            </w:pPr>
            <w:r>
              <w:rPr>
                <w:rFonts w:hint="cs"/>
                <w:b/>
                <w:bCs/>
                <w:rtl/>
              </w:rPr>
              <w:t>1 כיתות</w:t>
            </w:r>
          </w:p>
          <w:p>
            <w:pPr>
              <w:spacing w:line="280" w:lineRule="atLeast"/>
              <w:jc w:val="center"/>
              <w:rPr>
                <w:b/>
                <w:bCs/>
                <w:rtl/>
              </w:rPr>
            </w:pPr>
          </w:p>
          <w:p>
            <w:pPr>
              <w:spacing w:line="280" w:lineRule="atLeast"/>
              <w:jc w:val="center"/>
              <w:rPr>
                <w:rtl/>
              </w:rPr>
            </w:pPr>
            <w:r>
              <w:rPr>
                <w:rFonts w:hint="cs"/>
                <w:rtl/>
              </w:rPr>
              <w:t>(5 מפגשים לכל כיתה ובסה"כ  5 מפגשים)</w:t>
            </w:r>
          </w:p>
        </w:tc>
        <w:tc>
          <w:tcPr>
            <w:tcW w:w="2317" w:type="dxa"/>
          </w:tcPr>
          <w:p>
            <w:pPr>
              <w:spacing w:line="280" w:lineRule="atLeast"/>
            </w:pPr>
            <w:r>
              <w:rPr>
                <w:rtl/>
              </w:rPr>
              <w:t>בית ספר רשאי לבחור סמינר אקדמי לכיתה אחת בבית ספרו בחט"ע,  המשרד ישקול את בקשתו יחד עם בקשות בתי ספר אחרים.</w:t>
            </w:r>
          </w:p>
          <w:p>
            <w:pPr>
              <w:spacing w:line="280" w:lineRule="atLeast"/>
              <w:rPr>
                <w:rtl/>
              </w:rPr>
            </w:pPr>
            <w:r>
              <w:rPr>
                <w:rtl/>
              </w:rPr>
              <w:t>במסגרת שיקול הדעת, המשרד שומר לעצמו את הזכות לקחת בחשבון את הבחירה ב</w:t>
            </w:r>
            <w:r>
              <w:rPr>
                <w:rFonts w:hint="cs"/>
                <w:rtl/>
              </w:rPr>
              <w:t>סמינרים אקדמיים מחקריים</w:t>
            </w:r>
            <w:r>
              <w:rPr>
                <w:rtl/>
              </w:rPr>
              <w:t xml:space="preserve"> </w:t>
            </w:r>
            <w:r>
              <w:rPr>
                <w:rtl/>
              </w:rPr>
              <w:lastRenderedPageBreak/>
              <w:t>שנבחרו ע"י בית הספר בעבר ובבתי ספר שטרם מי</w:t>
            </w:r>
            <w:r>
              <w:rPr>
                <w:rFonts w:hint="cs"/>
                <w:rtl/>
              </w:rPr>
              <w:t>מ</w:t>
            </w:r>
            <w:r>
              <w:rPr>
                <w:rtl/>
              </w:rPr>
              <w:t>שו בחירה זו.</w:t>
            </w:r>
          </w:p>
          <w:p>
            <w:pPr>
              <w:spacing w:line="280" w:lineRule="atLeast"/>
              <w:rPr>
                <w:rtl/>
              </w:rPr>
            </w:pPr>
          </w:p>
          <w:p>
            <w:pPr>
              <w:spacing w:line="280" w:lineRule="atLeast"/>
              <w:rPr>
                <w:rtl/>
              </w:rPr>
            </w:pPr>
            <w:r>
              <w:rPr>
                <w:rtl/>
              </w:rPr>
              <w:t xml:space="preserve">במידה </w:t>
            </w:r>
            <w:r>
              <w:rPr>
                <w:rFonts w:hint="cs"/>
                <w:rtl/>
              </w:rPr>
              <w:t>ו</w:t>
            </w:r>
            <w:r>
              <w:rPr>
                <w:rtl/>
              </w:rPr>
              <w:t>בית הספר בחר בקורס מדעי באותה שנה</w:t>
            </w:r>
            <w:r>
              <w:rPr>
                <w:rFonts w:hint="cs"/>
                <w:rtl/>
              </w:rPr>
              <w:t>,</w:t>
            </w:r>
            <w:r>
              <w:rPr>
                <w:rtl/>
              </w:rPr>
              <w:t xml:space="preserve"> לא יוכל לבחור גם בסמינר אקדמי</w:t>
            </w:r>
            <w:r>
              <w:rPr>
                <w:rFonts w:hint="cs"/>
                <w:rtl/>
              </w:rPr>
              <w:t xml:space="preserve"> מחקרי באותה השנה</w:t>
            </w:r>
            <w:r>
              <w:rPr>
                <w:rtl/>
              </w:rPr>
              <w:t>.</w:t>
            </w:r>
          </w:p>
          <w:p>
            <w:pPr>
              <w:spacing w:line="280" w:lineRule="atLeast"/>
              <w:rPr>
                <w:rtl/>
              </w:rPr>
            </w:pPr>
          </w:p>
          <w:p>
            <w:pPr>
              <w:spacing w:line="280" w:lineRule="atLeast"/>
            </w:pPr>
            <w:r>
              <w:rPr>
                <w:rFonts w:hint="cs"/>
                <w:rtl/>
              </w:rPr>
              <w:t xml:space="preserve">אולם, </w:t>
            </w:r>
            <w:r>
              <w:rPr>
                <w:rtl/>
              </w:rPr>
              <w:t>במידה ולא יהיו בקשות</w:t>
            </w:r>
            <w:r>
              <w:rPr>
                <w:rFonts w:hint="cs"/>
                <w:rtl/>
              </w:rPr>
              <w:t>/ מיעוט בקשות</w:t>
            </w:r>
            <w:r>
              <w:rPr>
                <w:rtl/>
              </w:rPr>
              <w:t xml:space="preserve"> מטעם בתי ספר אחרים, המשרד ישקול לאשר לבית הספר לבחור סמינר אקדמי מחקרי לכיתה גם אם נבחר על ידו קורס מדעי באותה שנה.</w:t>
            </w:r>
          </w:p>
          <w:p>
            <w:pPr>
              <w:spacing w:line="280" w:lineRule="atLeast"/>
              <w:jc w:val="center"/>
              <w:rPr>
                <w:rtl/>
              </w:rPr>
            </w:pPr>
          </w:p>
        </w:tc>
      </w:tr>
      <w:bookmarkEnd w:id="22"/>
    </w:tbl>
    <w:p>
      <w:pPr>
        <w:widowControl w:val="0"/>
        <w:spacing w:line="300" w:lineRule="atLeast"/>
        <w:ind w:left="1418"/>
        <w:rPr>
          <w:sz w:val="26"/>
          <w:rtl/>
          <w:lang w:eastAsia="en-US"/>
        </w:rPr>
      </w:pPr>
    </w:p>
    <w:p>
      <w:pPr>
        <w:spacing w:after="200" w:line="280" w:lineRule="atLeast"/>
        <w:ind w:left="1417"/>
        <w:rPr>
          <w:rtl/>
          <w:lang w:eastAsia="en-US"/>
        </w:rPr>
      </w:pPr>
      <w:r>
        <w:rPr>
          <w:rFonts w:hint="cs"/>
          <w:rtl/>
          <w:lang w:eastAsia="en-US"/>
        </w:rPr>
        <w:t>הפעילות, שבמסגרת התוכניות השונות, תתבצע בקבוצות תלמידים מבתי ספר, בהתאם לשלבי החינוך ובהתאם לאזורים השונים.</w:t>
      </w:r>
    </w:p>
    <w:p>
      <w:pPr>
        <w:widowControl w:val="0"/>
        <w:spacing w:line="300" w:lineRule="atLeast"/>
        <w:ind w:left="1440"/>
        <w:rPr>
          <w:b/>
          <w:bCs/>
          <w:rtl/>
        </w:rPr>
      </w:pPr>
    </w:p>
    <w:p>
      <w:pPr>
        <w:widowControl w:val="0"/>
        <w:spacing w:line="300" w:lineRule="atLeast"/>
        <w:ind w:left="1440"/>
        <w:rPr>
          <w:b/>
          <w:bCs/>
          <w:rtl/>
        </w:rPr>
      </w:pPr>
      <w:r>
        <w:rPr>
          <w:rFonts w:hint="cs"/>
          <w:b/>
          <w:bCs/>
          <w:rtl/>
        </w:rPr>
        <w:t>כל היקפי הפעילות שפורטו לעיל הינם כמויות משוערות לשנה.</w:t>
      </w:r>
    </w:p>
    <w:p>
      <w:pPr>
        <w:widowControl w:val="0"/>
        <w:spacing w:line="300" w:lineRule="atLeast"/>
        <w:ind w:left="1418"/>
        <w:rPr>
          <w:sz w:val="26"/>
          <w:rtl/>
          <w:lang w:eastAsia="en-US"/>
        </w:rPr>
      </w:pPr>
    </w:p>
    <w:p>
      <w:pPr>
        <w:widowControl w:val="0"/>
        <w:spacing w:line="300" w:lineRule="atLeast"/>
        <w:ind w:left="1440"/>
        <w:rPr>
          <w:b/>
          <w:bCs/>
          <w:rtl/>
        </w:rPr>
      </w:pPr>
      <w:r>
        <w:rPr>
          <w:rFonts w:hint="cs"/>
          <w:b/>
          <w:bCs/>
          <w:rtl/>
        </w:rPr>
        <w:t>המשרד רשאי להגדיל / להקטין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pPr>
        <w:widowControl w:val="0"/>
        <w:spacing w:line="300" w:lineRule="atLeast"/>
        <w:ind w:left="1440"/>
        <w:rPr>
          <w:b/>
          <w:bCs/>
          <w:rtl/>
        </w:rPr>
      </w:pPr>
    </w:p>
    <w:p>
      <w:pPr>
        <w:widowControl w:val="0"/>
        <w:spacing w:line="300" w:lineRule="atLeast"/>
        <w:ind w:left="1440"/>
        <w:rPr>
          <w:b/>
          <w:bCs/>
          <w:rtl/>
        </w:rPr>
      </w:pPr>
      <w:r>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p>
    <w:p>
      <w:pPr>
        <w:widowControl w:val="0"/>
        <w:spacing w:line="300" w:lineRule="atLeast"/>
        <w:ind w:left="1418"/>
        <w:rPr>
          <w:b/>
          <w:bCs/>
          <w:u w:val="single"/>
          <w:rtl/>
          <w:lang w:eastAsia="en-US"/>
        </w:rPr>
      </w:pPr>
    </w:p>
    <w:p>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תפקידי הספק בביצוע העבודה</w:t>
      </w:r>
    </w:p>
    <w:p>
      <w:pPr>
        <w:widowControl w:val="0"/>
        <w:spacing w:line="300" w:lineRule="atLeast"/>
        <w:ind w:left="709"/>
        <w:rPr>
          <w:rtl/>
          <w:lang w:eastAsia="en-US"/>
        </w:rPr>
      </w:pPr>
    </w:p>
    <w:p>
      <w:pPr>
        <w:widowControl w:val="0"/>
        <w:numPr>
          <w:ilvl w:val="1"/>
          <w:numId w:val="9"/>
        </w:numPr>
        <w:spacing w:line="300" w:lineRule="atLeast"/>
        <w:rPr>
          <w:b/>
          <w:bCs/>
          <w:u w:val="single"/>
          <w:rtl/>
        </w:rPr>
      </w:pPr>
      <w:r>
        <w:rPr>
          <w:rFonts w:hint="cs"/>
          <w:b/>
          <w:bCs/>
          <w:u w:val="single"/>
          <w:rtl/>
        </w:rPr>
        <w:t>כללי</w:t>
      </w:r>
    </w:p>
    <w:p>
      <w:pPr>
        <w:widowControl w:val="0"/>
        <w:spacing w:line="300" w:lineRule="atLeast"/>
        <w:ind w:left="1418"/>
        <w:rPr>
          <w:rFonts w:ascii="MS Sans Serif" w:hAnsi="MS Sans Serif"/>
          <w:b/>
          <w:bCs/>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המשרד מבקש להפעיל את הפרוייקט באמצעות ספק, שיבחר במכרז זה.</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הספק יספק למשרד מענה כולל לכל התכנית שהוגשה על ידו בהצעתו למכרז זה, לרבות שינויים שיידרשו ע"י המשרד.</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 xml:space="preserve">הספק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pPr>
        <w:widowControl w:val="0"/>
        <w:spacing w:line="240" w:lineRule="auto"/>
        <w:ind w:left="1417"/>
        <w:rPr>
          <w:rFonts w:ascii="MS Sans Serif" w:hAnsi="MS Sans Serif"/>
          <w:b/>
          <w:bCs/>
          <w:spacing w:val="-2"/>
          <w:rtl/>
        </w:rPr>
      </w:pPr>
    </w:p>
    <w:p>
      <w:pPr>
        <w:widowControl w:val="0"/>
        <w:spacing w:line="240" w:lineRule="auto"/>
        <w:ind w:left="1417"/>
        <w:rPr>
          <w:rFonts w:ascii="MS Sans Serif" w:hAnsi="MS Sans Serif"/>
          <w:b/>
          <w:bCs/>
          <w:spacing w:val="-2"/>
          <w:rtl/>
        </w:rPr>
      </w:pPr>
      <w:r>
        <w:rPr>
          <w:rFonts w:ascii="MS Sans Serif" w:hAnsi="MS Sans Serif" w:hint="cs"/>
          <w:b/>
          <w:bCs/>
          <w:spacing w:val="-2"/>
          <w:rtl/>
        </w:rPr>
        <w:t>הספק מחויב לתת את מלוא השרות המוגדר במכרז זה מהיום שיקבע בהסכם כיום תחילת ההתקשרות.</w:t>
      </w:r>
    </w:p>
    <w:p>
      <w:pPr>
        <w:widowControl w:val="0"/>
        <w:spacing w:line="300" w:lineRule="atLeast"/>
        <w:ind w:left="709"/>
        <w:rPr>
          <w:rtl/>
          <w:lang w:eastAsia="en-US"/>
        </w:rPr>
      </w:pPr>
    </w:p>
    <w:p>
      <w:pPr>
        <w:widowControl w:val="0"/>
        <w:numPr>
          <w:ilvl w:val="1"/>
          <w:numId w:val="9"/>
        </w:numPr>
        <w:spacing w:line="300" w:lineRule="atLeast"/>
        <w:rPr>
          <w:b/>
          <w:bCs/>
          <w:u w:val="single"/>
          <w:rtl/>
        </w:rPr>
      </w:pPr>
      <w:r>
        <w:rPr>
          <w:rFonts w:hint="cs"/>
          <w:b/>
          <w:bCs/>
          <w:u w:val="single"/>
          <w:rtl/>
        </w:rPr>
        <w:t>ניירת ומסמכים</w:t>
      </w:r>
    </w:p>
    <w:p>
      <w:pPr>
        <w:widowControl w:val="0"/>
        <w:spacing w:line="300" w:lineRule="atLeast"/>
        <w:ind w:left="1985"/>
        <w:rPr>
          <w:rtl/>
        </w:rPr>
      </w:pPr>
    </w:p>
    <w:p>
      <w:pPr>
        <w:widowControl w:val="0"/>
        <w:spacing w:line="300" w:lineRule="atLeast"/>
        <w:ind w:left="1417"/>
        <w:rPr>
          <w:rtl/>
        </w:rPr>
      </w:pPr>
      <w:r>
        <w:rPr>
          <w:rFonts w:hint="cs"/>
          <w:rtl/>
        </w:rPr>
        <w:t>הספק הזוכה במכרז זה מנוע מלהשתמש בלוגו שלו על גבי ניירת הנוגעת למכרז זה. מבנה כותרת המסמכים תהיה במתכונת הבאה:</w:t>
      </w:r>
    </w:p>
    <w:p>
      <w:pPr>
        <w:widowControl w:val="0"/>
        <w:spacing w:line="300" w:lineRule="atLeast"/>
        <w:ind w:left="1985"/>
        <w:rPr>
          <w:rtl/>
        </w:rPr>
      </w:pPr>
      <w:r>
        <w:rPr>
          <w:noProof/>
          <w:rtl/>
          <w:lang w:eastAsia="en-US"/>
        </w:rPr>
        <mc:AlternateContent>
          <mc:Choice Requires="wpg">
            <w:drawing>
              <wp:anchor distT="0" distB="0" distL="114300" distR="114300" simplePos="0" relativeHeight="251617280" behindDoc="0" locked="0" layoutInCell="1" allowOverlap="1">
                <wp:simplePos x="0" y="0"/>
                <wp:positionH relativeFrom="column">
                  <wp:posOffset>31115</wp:posOffset>
                </wp:positionH>
                <wp:positionV relativeFrom="paragraph">
                  <wp:posOffset>132715</wp:posOffset>
                </wp:positionV>
                <wp:extent cx="5539105" cy="1156335"/>
                <wp:effectExtent l="0" t="0" r="0" b="0"/>
                <wp:wrapNone/>
                <wp:docPr id="73"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9105" cy="1156335"/>
                          <a:chOff x="1124" y="6793"/>
                          <a:chExt cx="8257" cy="1431"/>
                        </a:xfrm>
                      </wpg:grpSpPr>
                      <wps:wsp>
                        <wps:cNvPr id="74"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99" o:spid="_x0000_s1026" style="position:absolute;left:0;text-align:left;margin-left:2.45pt;margin-top:10.45pt;width:436.15pt;height:91.05pt;z-index:25161728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"/>
              </v:group>
            </w:pict>
          </mc:Fallback>
        </mc:AlternateContent>
      </w:r>
    </w:p>
    <w:p>
      <w:pPr>
        <w:widowControl w:val="0"/>
        <w:tabs>
          <w:tab w:val="left" w:pos="7298"/>
        </w:tabs>
        <w:spacing w:line="300" w:lineRule="atLeast"/>
        <w:ind w:left="1559"/>
        <w:rPr>
          <w:b/>
          <w:bCs/>
          <w:sz w:val="32"/>
          <w:szCs w:val="32"/>
          <w:u w:val="single"/>
          <w:rtl/>
          <w:lang w:eastAsia="en-US"/>
        </w:rPr>
      </w:pPr>
      <w:r>
        <w:rPr>
          <w:rFonts w:hint="cs"/>
          <w:b/>
          <w:bCs/>
          <w:sz w:val="32"/>
          <w:szCs w:val="32"/>
          <w:u w:val="single"/>
          <w:rtl/>
          <w:lang w:eastAsia="en-US"/>
        </w:rPr>
        <w:t>הפעלת תוכנית העשרה במוסדות אקדמיים, בתחומי דעת שונים לתלמידים מחוננים ומצטיינים</w:t>
      </w:r>
    </w:p>
    <w:p>
      <w:pPr>
        <w:widowControl w:val="0"/>
        <w:tabs>
          <w:tab w:val="left" w:pos="7298"/>
        </w:tabs>
        <w:spacing w:line="300" w:lineRule="atLeast"/>
        <w:ind w:left="1559"/>
        <w:rPr>
          <w:rtl/>
        </w:rPr>
      </w:pPr>
      <w:r>
        <w:rPr>
          <w:rFonts w:hint="cs"/>
          <w:rtl/>
        </w:rPr>
        <w:t xml:space="preserve">הפרוייקט מבוצע ע"י ________ עפ"י מכרז מס' </w:t>
      </w:r>
      <w:r>
        <w:rPr>
          <w:b/>
          <w:bCs/>
        </w:rPr>
        <w:t>8/4.2025</w:t>
      </w:r>
    </w:p>
    <w:p>
      <w:pPr>
        <w:widowControl w:val="0"/>
        <w:spacing w:line="300" w:lineRule="atLeast"/>
        <w:ind w:left="1559"/>
        <w:rPr>
          <w:rtl/>
        </w:rPr>
      </w:pPr>
    </w:p>
    <w:p>
      <w:pPr>
        <w:widowControl w:val="0"/>
        <w:spacing w:line="300" w:lineRule="atLeast"/>
        <w:ind w:left="1559"/>
        <w:rPr>
          <w:rtl/>
        </w:rPr>
      </w:pPr>
      <w:r>
        <w:rPr>
          <w:rFonts w:hint="cs"/>
          <w:rtl/>
        </w:rPr>
        <w:t>הפרוייקט מבוצע עבור האגף למחוננים ומצטיינים, משרד החינוך.</w:t>
      </w:r>
    </w:p>
    <w:p>
      <w:pPr>
        <w:widowControl w:val="0"/>
        <w:spacing w:line="300" w:lineRule="atLeast"/>
        <w:ind w:left="709"/>
        <w:rPr>
          <w:b/>
          <w:bCs/>
          <w:u w:val="single"/>
          <w:rtl/>
        </w:rPr>
      </w:pPr>
    </w:p>
    <w:p>
      <w:pPr>
        <w:widowControl w:val="0"/>
        <w:numPr>
          <w:ilvl w:val="1"/>
          <w:numId w:val="9"/>
        </w:numPr>
        <w:spacing w:line="300" w:lineRule="atLeast"/>
        <w:rPr>
          <w:b/>
          <w:bCs/>
          <w:sz w:val="22"/>
          <w:u w:val="single"/>
          <w:rtl/>
        </w:rPr>
      </w:pPr>
      <w:r>
        <w:rPr>
          <w:rFonts w:hint="cs"/>
          <w:b/>
          <w:bCs/>
          <w:sz w:val="22"/>
          <w:u w:val="single"/>
          <w:rtl/>
        </w:rPr>
        <w:t xml:space="preserve">בנייה וניהול קובץ נהלי עבודה </w:t>
      </w:r>
    </w:p>
    <w:p>
      <w:pPr>
        <w:widowControl w:val="0"/>
        <w:spacing w:line="300" w:lineRule="atLeast"/>
        <w:rPr>
          <w:rtl/>
        </w:rPr>
      </w:pPr>
    </w:p>
    <w:p>
      <w:pPr>
        <w:widowControl w:val="0"/>
        <w:spacing w:line="300" w:lineRule="atLeast"/>
        <w:ind w:left="1418"/>
      </w:pPr>
    </w:p>
    <w:p>
      <w:pPr>
        <w:widowControl w:val="0"/>
        <w:numPr>
          <w:ilvl w:val="2"/>
          <w:numId w:val="9"/>
        </w:numPr>
        <w:spacing w:line="300" w:lineRule="atLeast"/>
      </w:pPr>
      <w:r>
        <w:rPr>
          <w:rFonts w:hint="cs"/>
          <w:rtl/>
        </w:rPr>
        <w:t xml:space="preserve">הספק יבנה, תוך כדי התהליך, קובץ נהלי עבודה של הפרוייקט. הקובץ יכלול את כל הפעילויות הנדרשות לצורך הפעלה שוטפת של הפרוייקט. </w:t>
      </w:r>
    </w:p>
    <w:p>
      <w:pPr>
        <w:widowControl w:val="0"/>
        <w:spacing w:line="300" w:lineRule="atLeast"/>
        <w:ind w:left="1418"/>
      </w:pPr>
    </w:p>
    <w:p>
      <w:pPr>
        <w:widowControl w:val="0"/>
        <w:numPr>
          <w:ilvl w:val="2"/>
          <w:numId w:val="9"/>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pPr>
        <w:widowControl w:val="0"/>
        <w:spacing w:line="300" w:lineRule="atLeast"/>
        <w:rPr>
          <w:rtl/>
        </w:rPr>
      </w:pPr>
    </w:p>
    <w:p>
      <w:pPr>
        <w:widowControl w:val="0"/>
        <w:numPr>
          <w:ilvl w:val="2"/>
          <w:numId w:val="9"/>
        </w:numPr>
        <w:spacing w:line="300" w:lineRule="atLeast"/>
        <w:rPr>
          <w:rtl/>
        </w:rPr>
      </w:pPr>
      <w:r>
        <w:rPr>
          <w:rFonts w:hint="cs"/>
          <w:rtl/>
        </w:rPr>
        <w:t>הספק יעביר את קובץ נהלי עבודה למשרד לצורך אישורו. כמו כן, יעביר הספק כל נוהל מעודכן לאישור המשרד.</w:t>
      </w:r>
    </w:p>
    <w:p>
      <w:pPr>
        <w:widowControl w:val="0"/>
        <w:spacing w:line="240" w:lineRule="auto"/>
        <w:rPr>
          <w:rtl/>
        </w:rPr>
      </w:pPr>
    </w:p>
    <w:p>
      <w:pPr>
        <w:widowControl w:val="0"/>
        <w:numPr>
          <w:ilvl w:val="2"/>
          <w:numId w:val="9"/>
        </w:numPr>
        <w:spacing w:line="300" w:lineRule="atLeast"/>
        <w:ind w:right="-284"/>
        <w:rPr>
          <w:rtl/>
        </w:rPr>
      </w:pPr>
      <w:r>
        <w:rPr>
          <w:rFonts w:hint="cs"/>
          <w:rtl/>
        </w:rPr>
        <w:t xml:space="preserve">על הספק לדאוג להתאמת הקובץ לתנאי הפעילות של הפרוייקט ולדאוג לעדכונו השוטף. </w:t>
      </w:r>
    </w:p>
    <w:p>
      <w:pPr>
        <w:widowControl w:val="0"/>
        <w:spacing w:line="240" w:lineRule="auto"/>
        <w:ind w:left="567"/>
        <w:rPr>
          <w:rtl/>
        </w:rPr>
      </w:pPr>
    </w:p>
    <w:p>
      <w:pPr>
        <w:widowControl w:val="0"/>
        <w:numPr>
          <w:ilvl w:val="2"/>
          <w:numId w:val="9"/>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pPr>
        <w:widowControl w:val="0"/>
        <w:spacing w:line="240" w:lineRule="auto"/>
        <w:rPr>
          <w:rtl/>
        </w:rPr>
      </w:pPr>
    </w:p>
    <w:p>
      <w:pPr>
        <w:widowControl w:val="0"/>
        <w:numPr>
          <w:ilvl w:val="2"/>
          <w:numId w:val="9"/>
        </w:numPr>
        <w:spacing w:line="300" w:lineRule="atLeast"/>
        <w:rPr>
          <w:rtl/>
        </w:rPr>
      </w:pPr>
      <w:r>
        <w:rPr>
          <w:rFonts w:hint="cs"/>
          <w:rtl/>
        </w:rPr>
        <w:t>בכל שנת התקשרות חדשה, על הספק לדאוג להפקת קובץ נהלים מעודכן (כתנאי להמשך ההתקשרות).</w:t>
      </w:r>
    </w:p>
    <w:p>
      <w:pPr>
        <w:widowControl w:val="0"/>
        <w:spacing w:line="240" w:lineRule="auto"/>
        <w:ind w:left="1418"/>
        <w:rPr>
          <w:rtl/>
        </w:rPr>
      </w:pPr>
    </w:p>
    <w:p>
      <w:pPr>
        <w:widowControl w:val="0"/>
        <w:numPr>
          <w:ilvl w:val="2"/>
          <w:numId w:val="9"/>
        </w:numPr>
        <w:spacing w:line="300" w:lineRule="atLeast"/>
      </w:pPr>
      <w:r>
        <w:rPr>
          <w:rFonts w:hint="cs"/>
          <w:rtl/>
        </w:rPr>
        <w:t xml:space="preserve">הספק ייתן מענה לדרישות המשרד באמצעות נהלים מתאימים, תוך </w:t>
      </w:r>
      <w:r>
        <w:rPr>
          <w:rFonts w:hint="cs"/>
          <w:b/>
          <w:bCs/>
          <w:rtl/>
        </w:rPr>
        <w:t>10</w:t>
      </w:r>
      <w:r>
        <w:rPr>
          <w:rFonts w:hint="cs"/>
          <w:rtl/>
        </w:rPr>
        <w:t xml:space="preserve"> ימי עבודה מיום הדרישה של המשרד.</w:t>
      </w:r>
    </w:p>
    <w:p>
      <w:pPr>
        <w:widowControl w:val="0"/>
        <w:spacing w:line="240" w:lineRule="auto"/>
        <w:rPr>
          <w:rtl/>
        </w:rPr>
      </w:pPr>
    </w:p>
    <w:p>
      <w:pPr>
        <w:widowControl w:val="0"/>
        <w:numPr>
          <w:ilvl w:val="2"/>
          <w:numId w:val="9"/>
        </w:numPr>
        <w:spacing w:line="300" w:lineRule="atLeast"/>
      </w:pPr>
      <w:r>
        <w:rPr>
          <w:rFonts w:hint="cs"/>
          <w:rtl/>
        </w:rPr>
        <w:t>בכל עת ימצא בידי הספק ובידי המשרד עותק מעודכן של קובץ הנהלים.</w:t>
      </w:r>
    </w:p>
    <w:p>
      <w:pPr>
        <w:pStyle w:val="aff2"/>
        <w:widowControl w:val="0"/>
        <w:spacing w:line="300" w:lineRule="atLeast"/>
        <w:rPr>
          <w:rtl/>
        </w:rPr>
      </w:pPr>
    </w:p>
    <w:p>
      <w:pPr>
        <w:pStyle w:val="aff2"/>
        <w:widowControl w:val="0"/>
        <w:spacing w:line="300" w:lineRule="atLeast"/>
        <w:rPr>
          <w:rtl/>
        </w:rPr>
      </w:pPr>
    </w:p>
    <w:p>
      <w:pPr>
        <w:widowControl w:val="0"/>
        <w:numPr>
          <w:ilvl w:val="0"/>
          <w:numId w:val="9"/>
        </w:numPr>
        <w:spacing w:line="300" w:lineRule="atLeast"/>
        <w:rPr>
          <w:b/>
          <w:bCs/>
          <w:sz w:val="28"/>
          <w:szCs w:val="28"/>
          <w:u w:val="single"/>
          <w:rtl/>
        </w:rPr>
      </w:pPr>
      <w:r>
        <w:rPr>
          <w:b/>
          <w:bCs/>
          <w:sz w:val="28"/>
          <w:szCs w:val="28"/>
          <w:u w:val="single"/>
          <w:rtl/>
        </w:rPr>
        <w:lastRenderedPageBreak/>
        <w:t>כח האדם של הספק והאמצעים הנדרשים לביצוע המכרז</w:t>
      </w:r>
    </w:p>
    <w:p>
      <w:pPr>
        <w:widowControl w:val="0"/>
        <w:spacing w:line="300" w:lineRule="atLeast"/>
        <w:ind w:left="567"/>
        <w:rPr>
          <w:sz w:val="22"/>
          <w:rtl/>
          <w:lang w:eastAsia="en-US"/>
        </w:rPr>
      </w:pPr>
    </w:p>
    <w:p>
      <w:pPr>
        <w:pStyle w:val="2"/>
        <w:keepNext w:val="0"/>
        <w:widowControl w:val="0"/>
        <w:numPr>
          <w:ilvl w:val="1"/>
          <w:numId w:val="9"/>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הספק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pPr>
        <w:pStyle w:val="2"/>
        <w:keepNext w:val="0"/>
        <w:widowControl w:val="0"/>
        <w:numPr>
          <w:ilvl w:val="1"/>
          <w:numId w:val="9"/>
        </w:numPr>
        <w:spacing w:before="0" w:after="160" w:line="300" w:lineRule="atLeast"/>
        <w:ind w:right="0"/>
        <w:rPr>
          <w:b w:val="0"/>
          <w:bCs w:val="0"/>
          <w:sz w:val="22"/>
          <w:u w:val="none"/>
          <w:rtl/>
          <w:lang w:eastAsia="en-US"/>
        </w:rPr>
      </w:pPr>
      <w:r>
        <w:rPr>
          <w:rFonts w:hint="cs"/>
          <w:b w:val="0"/>
          <w:bCs w:val="0"/>
          <w:sz w:val="22"/>
          <w:u w:val="none"/>
          <w:rtl/>
          <w:lang w:eastAsia="en-US"/>
        </w:rPr>
        <w:t>עובדי הספק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בפרוייקט זה, ולספק להם את כל הציוד והאמצעים לביצוע עבודתם בשלמות, כנדרש במכרז.</w:t>
      </w:r>
    </w:p>
    <w:p>
      <w:pPr>
        <w:widowControl w:val="0"/>
        <w:numPr>
          <w:ilvl w:val="1"/>
          <w:numId w:val="9"/>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pPr>
        <w:widowControl w:val="0"/>
        <w:spacing w:after="160" w:line="300" w:lineRule="atLeast"/>
        <w:ind w:left="1417"/>
        <w:rPr>
          <w:sz w:val="22"/>
          <w:rtl/>
          <w:lang w:eastAsia="en-US"/>
        </w:rPr>
      </w:pPr>
      <w:r>
        <w:rPr>
          <w:rFonts w:hint="cs"/>
          <w:sz w:val="22"/>
          <w:rtl/>
          <w:lang w:eastAsia="en-US"/>
        </w:rPr>
        <w:t>ככל שיתברר שכח האדם המוצע, של המציע הזוכה, אינו עומד בדרישות המכרז יחוייב הספק להחליף את העובד המוצע בעובד העונה לדרישות המכרז והמתאים לביצוע התפקיד.</w:t>
      </w:r>
    </w:p>
    <w:p>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pPr>
        <w:widowControl w:val="0"/>
        <w:numPr>
          <w:ilvl w:val="1"/>
          <w:numId w:val="9"/>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הספק הפועלים במסגרת מכרז זה רשאי המשרד לדרוש את החלפתו ו</w:t>
      </w:r>
      <w:r>
        <w:rPr>
          <w:rtl/>
          <w:lang w:eastAsia="en-US"/>
        </w:rPr>
        <w:t xml:space="preserve">על הספק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pPr>
        <w:widowControl w:val="0"/>
        <w:numPr>
          <w:ilvl w:val="1"/>
          <w:numId w:val="9"/>
        </w:numPr>
        <w:spacing w:after="160" w:line="300" w:lineRule="atLeast"/>
        <w:rPr>
          <w:sz w:val="22"/>
          <w:rtl/>
          <w:lang w:eastAsia="en-US"/>
        </w:rPr>
      </w:pPr>
      <w:r>
        <w:rPr>
          <w:rFonts w:hint="cs"/>
          <w:sz w:val="22"/>
          <w:rtl/>
          <w:lang w:eastAsia="en-US"/>
        </w:rPr>
        <w:t xml:space="preserve">הספק מחוייב להפעיל את הפרוייקט באמצעות אותו הצוות המוצג בהצעתו. </w:t>
      </w:r>
    </w:p>
    <w:p>
      <w:pPr>
        <w:widowControl w:val="0"/>
        <w:numPr>
          <w:ilvl w:val="1"/>
          <w:numId w:val="9"/>
        </w:numPr>
        <w:spacing w:after="160" w:line="300" w:lineRule="atLeast"/>
        <w:rPr>
          <w:sz w:val="22"/>
          <w:rtl/>
          <w:lang w:eastAsia="en-US"/>
        </w:rPr>
      </w:pPr>
      <w:r>
        <w:rPr>
          <w:rFonts w:hint="cs"/>
          <w:sz w:val="22"/>
          <w:rtl/>
          <w:lang w:eastAsia="en-US"/>
        </w:rPr>
        <w:t>במידה שהמשרד מבקש להחליף עובד או שהספק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בפרוייקט, הספק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pPr>
        <w:widowControl w:val="0"/>
        <w:spacing w:after="160" w:line="300" w:lineRule="atLeast"/>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הספק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pPr>
        <w:widowControl w:val="0"/>
        <w:spacing w:after="160" w:line="300" w:lineRule="atLeast"/>
        <w:ind w:left="1417"/>
        <w:rPr>
          <w:sz w:val="22"/>
          <w:rtl/>
          <w:lang w:eastAsia="en-US"/>
        </w:rPr>
      </w:pPr>
      <w:r>
        <w:rPr>
          <w:sz w:val="22"/>
          <w:rtl/>
          <w:lang w:eastAsia="en-US"/>
        </w:rPr>
        <w:t>הבקשה תוגש ליחידה במשרד</w:t>
      </w:r>
      <w:r>
        <w:rPr>
          <w:rFonts w:hint="cs"/>
          <w:sz w:val="22"/>
          <w:rtl/>
          <w:lang w:eastAsia="en-US"/>
        </w:rPr>
        <w:t xml:space="preserve"> עימה התקשר הספק</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pPr>
        <w:widowControl w:val="0"/>
        <w:spacing w:after="160" w:line="300" w:lineRule="atLeast"/>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pPr>
        <w:widowControl w:val="0"/>
        <w:spacing w:after="160" w:line="300" w:lineRule="atLeast"/>
        <w:ind w:left="1417"/>
        <w:rPr>
          <w:sz w:val="22"/>
          <w:rtl/>
          <w:lang w:eastAsia="en-US"/>
        </w:rPr>
      </w:pPr>
      <w:r>
        <w:rPr>
          <w:rFonts w:hint="cs"/>
          <w:sz w:val="22"/>
          <w:rtl/>
          <w:lang w:eastAsia="en-US"/>
        </w:rPr>
        <w:t>כמו כן, על הספק להקפיד שהעובד המוצע יעמוד במלוא דרישות המכרז ולכל הפחות בציון שקיבל העובד אותו מבקשים להחליף.</w:t>
      </w:r>
    </w:p>
    <w:p>
      <w:pPr>
        <w:widowControl w:val="0"/>
        <w:spacing w:after="160" w:line="300" w:lineRule="atLeast"/>
        <w:ind w:left="1417"/>
        <w:rPr>
          <w:sz w:val="22"/>
          <w:rtl/>
          <w:lang w:eastAsia="en-US"/>
        </w:rPr>
      </w:pPr>
      <w:r>
        <w:rPr>
          <w:rFonts w:hint="cs"/>
          <w:sz w:val="22"/>
          <w:rtl/>
          <w:lang w:eastAsia="en-US"/>
        </w:rPr>
        <w:t>ההחלפה תכנס לתוקף רק לאחר אישורה של וועדת המכרזים.</w:t>
      </w:r>
    </w:p>
    <w:p>
      <w:pPr>
        <w:widowControl w:val="0"/>
        <w:numPr>
          <w:ilvl w:val="1"/>
          <w:numId w:val="9"/>
        </w:numPr>
        <w:spacing w:after="160" w:line="300" w:lineRule="atLeast"/>
        <w:rPr>
          <w:rtl/>
          <w:lang w:eastAsia="en-US"/>
        </w:rPr>
      </w:pPr>
      <w:r>
        <w:rPr>
          <w:rFonts w:hint="cs"/>
          <w:sz w:val="22"/>
          <w:rtl/>
          <w:lang w:eastAsia="en-US"/>
        </w:rPr>
        <w:t>הספק</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pPr>
        <w:widowControl w:val="0"/>
        <w:numPr>
          <w:ilvl w:val="1"/>
          <w:numId w:val="9"/>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pPr>
        <w:widowControl w:val="0"/>
        <w:spacing w:after="160" w:line="300" w:lineRule="atLeast"/>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pPr>
        <w:widowControl w:val="0"/>
        <w:numPr>
          <w:ilvl w:val="1"/>
          <w:numId w:val="9"/>
        </w:numPr>
        <w:spacing w:after="160" w:line="300" w:lineRule="atLeast"/>
        <w:rPr>
          <w:rtl/>
          <w:lang w:eastAsia="en-US"/>
        </w:rPr>
      </w:pPr>
      <w:r>
        <w:rPr>
          <w:rtl/>
          <w:lang w:eastAsia="en-US"/>
        </w:rPr>
        <w:t xml:space="preserve">על </w:t>
      </w:r>
      <w:r>
        <w:rPr>
          <w:sz w:val="22"/>
          <w:rtl/>
          <w:lang w:eastAsia="en-US"/>
        </w:rPr>
        <w:t>הספק</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pPr>
        <w:widowControl w:val="0"/>
        <w:numPr>
          <w:ilvl w:val="1"/>
          <w:numId w:val="9"/>
        </w:numPr>
        <w:spacing w:line="300" w:lineRule="atLeast"/>
        <w:rPr>
          <w:b/>
          <w:bCs/>
          <w:rtl/>
        </w:rPr>
      </w:pPr>
      <w:r>
        <w:rPr>
          <w:rFonts w:hint="cs"/>
          <w:b/>
          <w:bCs/>
          <w:rtl/>
        </w:rPr>
        <w:t>למען הסר ספק מוצהר ומוסכם כי היחסים בין הספק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pPr>
        <w:widowControl w:val="0"/>
        <w:spacing w:line="300" w:lineRule="atLeast"/>
        <w:ind w:left="1417"/>
        <w:rPr>
          <w:b/>
          <w:bCs/>
          <w:rtl/>
          <w:lang w:eastAsia="en-US"/>
        </w:rPr>
      </w:pPr>
      <w:r>
        <w:rPr>
          <w:rFonts w:hint="cs"/>
          <w:b/>
          <w:bCs/>
          <w:rtl/>
          <w:lang w:eastAsia="en-US"/>
        </w:rPr>
        <w:lastRenderedPageBreak/>
        <w:t>כל הוצאות גיוס כח האדם והפעלתו יהיו על ידי הספק ועל חשבונו.</w:t>
      </w:r>
    </w:p>
    <w:p>
      <w:pPr>
        <w:widowControl w:val="0"/>
        <w:spacing w:line="300" w:lineRule="atLeast"/>
        <w:ind w:left="1417"/>
        <w:rPr>
          <w:b/>
          <w:bCs/>
          <w:rtl/>
          <w:lang w:eastAsia="en-US"/>
        </w:rPr>
      </w:pPr>
    </w:p>
    <w:p>
      <w:pPr>
        <w:widowControl w:val="0"/>
        <w:numPr>
          <w:ilvl w:val="1"/>
          <w:numId w:val="9"/>
        </w:numPr>
        <w:spacing w:line="300" w:lineRule="atLeast"/>
        <w:rPr>
          <w:b/>
          <w:bCs/>
          <w:u w:val="single"/>
          <w:rtl/>
        </w:rPr>
      </w:pPr>
      <w:r>
        <w:rPr>
          <w:rFonts w:hint="cs"/>
          <w:b/>
          <w:bCs/>
          <w:u w:val="single"/>
          <w:rtl/>
        </w:rPr>
        <w:t>הקפדה על דיני העבודה במדינת ישראל</w:t>
      </w:r>
    </w:p>
    <w:p>
      <w:pPr>
        <w:widowControl w:val="0"/>
        <w:spacing w:line="240" w:lineRule="auto"/>
        <w:ind w:left="1417"/>
        <w:rPr>
          <w:rtl/>
        </w:rPr>
      </w:pPr>
    </w:p>
    <w:p>
      <w:pPr>
        <w:widowControl w:val="0"/>
        <w:spacing w:line="300" w:lineRule="atLeast"/>
        <w:ind w:left="1417"/>
        <w:rPr>
          <w:rtl/>
        </w:rPr>
      </w:pPr>
      <w:r>
        <w:rPr>
          <w:rFonts w:hint="cs"/>
          <w:rtl/>
        </w:rPr>
        <w:t xml:space="preserve">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עפ"י חוקי ההעסקה המפורטים בנספח </w:t>
      </w:r>
      <w:r>
        <w:rPr>
          <w:rFonts w:hint="cs"/>
          <w:b/>
          <w:bCs/>
          <w:rtl/>
        </w:rPr>
        <w:t>5 חוברת ההצעה</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pPr>
        <w:widowControl w:val="0"/>
        <w:spacing w:line="300" w:lineRule="atLeast"/>
        <w:ind w:left="1417"/>
        <w:rPr>
          <w:rtl/>
        </w:rPr>
      </w:pPr>
    </w:p>
    <w:p>
      <w:pPr>
        <w:widowControl w:val="0"/>
        <w:numPr>
          <w:ilvl w:val="1"/>
          <w:numId w:val="9"/>
        </w:numPr>
        <w:spacing w:after="160" w:line="300" w:lineRule="atLeast"/>
      </w:pPr>
      <w:r>
        <w:rPr>
          <w:rFonts w:hint="cs"/>
          <w:rtl/>
        </w:rPr>
        <w:t>מבלי לפגוע בכלליות האמור לעיל מתחייב הספק:</w:t>
      </w:r>
    </w:p>
    <w:p>
      <w:pPr>
        <w:widowControl w:val="0"/>
        <w:numPr>
          <w:ilvl w:val="1"/>
          <w:numId w:val="5"/>
        </w:numPr>
        <w:tabs>
          <w:tab w:val="clear" w:pos="3708"/>
          <w:tab w:val="left" w:pos="1984"/>
        </w:tabs>
        <w:spacing w:after="160" w:line="300" w:lineRule="atLeast"/>
        <w:ind w:left="1984" w:right="0" w:hanging="567"/>
      </w:pPr>
      <w:r>
        <w:rPr>
          <w:rtl/>
          <w:lang w:eastAsia="en-US"/>
        </w:rPr>
        <w:t>אין מניעה כי עובדי הספק לא יועסקו בהעסקה ישירה על ידי הספק,</w:t>
      </w:r>
      <w:r>
        <w:rPr>
          <w:rFonts w:hint="cs"/>
          <w:rtl/>
          <w:lang w:eastAsia="en-US"/>
        </w:rPr>
        <w:t xml:space="preserve"> </w:t>
      </w:r>
      <w:r>
        <w:rPr>
          <w:rtl/>
          <w:lang w:eastAsia="en-US"/>
        </w:rPr>
        <w:t>יש מניעה להעסקת קבלני משנה לגבי יתר השירותים .</w:t>
      </w:r>
    </w:p>
    <w:p>
      <w:pPr>
        <w:widowControl w:val="0"/>
        <w:numPr>
          <w:ilvl w:val="1"/>
          <w:numId w:val="5"/>
        </w:numPr>
        <w:tabs>
          <w:tab w:val="clear" w:pos="3708"/>
          <w:tab w:val="left" w:pos="1984"/>
        </w:tabs>
        <w:spacing w:after="160" w:line="300" w:lineRule="atLeast"/>
        <w:ind w:left="1984" w:right="0" w:hanging="567"/>
        <w:rPr>
          <w:lang w:eastAsia="en-US"/>
        </w:rPr>
      </w:pPr>
      <w:r>
        <w:rPr>
          <w:rFonts w:hint="cs"/>
          <w:rtl/>
          <w:lang w:eastAsia="en-US"/>
        </w:rPr>
        <w:t>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מחוייב לשלם שכר מינימלי אחר לשלם לכל הפחות סכום זה והמתאים לכישורים, להכשרה ולתפקיד אותו מבצע כל אחד מבעלי התפקיד.</w:t>
      </w:r>
    </w:p>
    <w:p>
      <w:pPr>
        <w:widowControl w:val="0"/>
        <w:numPr>
          <w:ilvl w:val="1"/>
          <w:numId w:val="5"/>
        </w:numPr>
        <w:tabs>
          <w:tab w:val="clear" w:pos="3708"/>
          <w:tab w:val="left" w:pos="1984"/>
        </w:tabs>
        <w:spacing w:after="160" w:line="300" w:lineRule="atLeast"/>
        <w:ind w:left="1985" w:right="0" w:hanging="567"/>
      </w:pPr>
      <w:r>
        <w:rPr>
          <w:rFonts w:hint="cs"/>
          <w:spacing w:val="-4"/>
          <w:rtl/>
        </w:rPr>
        <w:t xml:space="preserve">לבצע לעובדיו ביטוח פנסיוני, החל מיום עבודתם הראשון, בקרן פנסיה, קופת גמל או ביטוח מנהלים (או שילוב ביניהם) בגוף פיננסי שיבחר ע"י העובד, כאשר </w:t>
      </w:r>
      <w:r>
        <w:rPr>
          <w:rFonts w:ascii="Arial" w:hAnsi="Arial" w:hint="cs"/>
          <w:spacing w:val="-4"/>
          <w:rtl/>
        </w:rPr>
        <w:t>הספק</w:t>
      </w:r>
      <w:r>
        <w:rPr>
          <w:rFonts w:ascii="Arial" w:hAnsi="Arial"/>
          <w:spacing w:val="-4"/>
          <w:rtl/>
        </w:rPr>
        <w:t xml:space="preserve"> מתחייב להפריש את הסכומים הבאים בגין ביטוח </w:t>
      </w:r>
      <w:r>
        <w:rPr>
          <w:spacing w:val="-4"/>
          <w:rtl/>
          <w:lang w:eastAsia="en-US"/>
        </w:rPr>
        <w:t>הפנסיוני</w:t>
      </w:r>
      <w:r>
        <w:rPr>
          <w:rFonts w:ascii="Arial" w:hAnsi="Arial"/>
          <w:spacing w:val="-4"/>
          <w:rtl/>
        </w:rPr>
        <w:t xml:space="preserve"> של העובד - לפחות </w:t>
      </w:r>
      <w:r>
        <w:rPr>
          <w:rFonts w:ascii="Arial" w:hAnsi="Arial" w:hint="cs"/>
          <w:b/>
          <w:bCs/>
          <w:spacing w:val="-4"/>
          <w:rtl/>
        </w:rPr>
        <w:t>6</w:t>
      </w:r>
      <w:r>
        <w:rPr>
          <w:rFonts w:ascii="Arial" w:hAnsi="Arial"/>
          <w:b/>
          <w:bCs/>
          <w:spacing w:val="-4"/>
          <w:rtl/>
        </w:rPr>
        <w:t>%</w:t>
      </w:r>
      <w:r>
        <w:rPr>
          <w:rFonts w:ascii="Arial" w:hAnsi="Arial"/>
          <w:spacing w:val="-4"/>
          <w:rtl/>
        </w:rPr>
        <w:t xml:space="preserve"> </w:t>
      </w:r>
      <w:r>
        <w:rPr>
          <w:rFonts w:ascii="Arial" w:hAnsi="Arial" w:hint="cs"/>
          <w:spacing w:val="-4"/>
          <w:rtl/>
        </w:rPr>
        <w:t>מהשכר בפועל</w:t>
      </w:r>
      <w:r>
        <w:rPr>
          <w:rFonts w:ascii="Arial" w:hAnsi="Arial"/>
          <w:spacing w:val="-4"/>
          <w:rtl/>
        </w:rPr>
        <w:t xml:space="preserve"> בגין ת</w:t>
      </w:r>
      <w:r>
        <w:rPr>
          <w:rFonts w:ascii="Arial" w:hAnsi="Arial" w:hint="cs"/>
          <w:spacing w:val="-4"/>
          <w:rtl/>
        </w:rPr>
        <w:t>גמו</w:t>
      </w:r>
      <w:r>
        <w:rPr>
          <w:rFonts w:ascii="Arial" w:hAnsi="Arial"/>
          <w:spacing w:val="-4"/>
          <w:rtl/>
        </w:rPr>
        <w:t xml:space="preserve">לים </w:t>
      </w:r>
      <w:r>
        <w:rPr>
          <w:rFonts w:ascii="Arial" w:hAnsi="Arial" w:hint="cs"/>
          <w:spacing w:val="-4"/>
          <w:rtl/>
        </w:rPr>
        <w:t>ו</w:t>
      </w:r>
      <w:r>
        <w:rPr>
          <w:rFonts w:ascii="Arial" w:hAnsi="Arial"/>
          <w:spacing w:val="-4"/>
          <w:rtl/>
        </w:rPr>
        <w:t xml:space="preserve">העובד יפריש על חשבונו </w:t>
      </w:r>
      <w:r>
        <w:rPr>
          <w:rFonts w:ascii="Arial" w:hAnsi="Arial" w:hint="cs"/>
          <w:b/>
          <w:bCs/>
          <w:spacing w:val="-4"/>
          <w:rtl/>
        </w:rPr>
        <w:t>5.5</w:t>
      </w:r>
      <w:r>
        <w:rPr>
          <w:rFonts w:ascii="Arial" w:hAnsi="Arial"/>
          <w:b/>
          <w:bCs/>
          <w:spacing w:val="-4"/>
          <w:rtl/>
        </w:rPr>
        <w:t>%</w:t>
      </w:r>
      <w:r>
        <w:rPr>
          <w:rFonts w:ascii="Arial" w:hAnsi="Arial"/>
          <w:spacing w:val="-4"/>
          <w:rtl/>
        </w:rPr>
        <w:t xml:space="preserve"> בגין ת</w:t>
      </w:r>
      <w:r>
        <w:rPr>
          <w:rFonts w:ascii="Arial" w:hAnsi="Arial" w:hint="cs"/>
          <w:spacing w:val="-4"/>
          <w:rtl/>
        </w:rPr>
        <w:t>גמול</w:t>
      </w:r>
      <w:r>
        <w:rPr>
          <w:rFonts w:ascii="Arial" w:hAnsi="Arial"/>
          <w:spacing w:val="-4"/>
          <w:rtl/>
        </w:rPr>
        <w:t>ים</w:t>
      </w:r>
      <w:r>
        <w:rPr>
          <w:rFonts w:ascii="Arial" w:hAnsi="Arial" w:hint="cs"/>
          <w:spacing w:val="-4"/>
          <w:rtl/>
        </w:rPr>
        <w:t>, הספק גם</w:t>
      </w:r>
      <w:r>
        <w:rPr>
          <w:rFonts w:ascii="Arial" w:hAnsi="Arial"/>
          <w:spacing w:val="-4"/>
          <w:rtl/>
        </w:rPr>
        <w:t xml:space="preserve"> יפריש </w:t>
      </w:r>
      <w:r>
        <w:rPr>
          <w:rFonts w:ascii="Arial" w:hAnsi="Arial"/>
          <w:b/>
          <w:bCs/>
          <w:spacing w:val="-4"/>
          <w:rtl/>
        </w:rPr>
        <w:t>8.333%</w:t>
      </w:r>
      <w:r>
        <w:rPr>
          <w:rFonts w:ascii="Arial" w:hAnsi="Arial"/>
          <w:spacing w:val="-4"/>
          <w:rtl/>
        </w:rPr>
        <w:t xml:space="preserve"> בגין פיצויים. </w:t>
      </w:r>
      <w:r>
        <w:rPr>
          <w:rFonts w:ascii="Arial" w:hAnsi="Arial"/>
          <w:rtl/>
        </w:rPr>
        <w:t xml:space="preserve">לעניין הפיצויים </w:t>
      </w:r>
      <w:r>
        <w:rPr>
          <w:rFonts w:ascii="Arial" w:hAnsi="Arial" w:hint="cs"/>
          <w:rtl/>
        </w:rPr>
        <w:t>מובהר בזאת כי הספק</w:t>
      </w:r>
      <w:r>
        <w:rPr>
          <w:rFonts w:ascii="Arial" w:hAnsi="Arial"/>
          <w:rtl/>
        </w:rPr>
        <w:t xml:space="preserve"> יפריש סכום זה לסוג הביטוח הפנסיוני שבחר העובד (דהיינו לא לקרן פיצויים מרכזית) וכן ה</w:t>
      </w:r>
      <w:r>
        <w:rPr>
          <w:rFonts w:ascii="Arial" w:hAnsi="Arial" w:hint="cs"/>
          <w:rtl/>
        </w:rPr>
        <w:t>ספק</w:t>
      </w:r>
      <w:r>
        <w:rPr>
          <w:rFonts w:ascii="Arial" w:hAnsi="Arial"/>
          <w:rtl/>
        </w:rPr>
        <w:t xml:space="preserve"> יתחייב מראש</w:t>
      </w:r>
      <w:r>
        <w:rPr>
          <w:rFonts w:ascii="Arial" w:hAnsi="Arial" w:hint="cs"/>
          <w:rtl/>
        </w:rPr>
        <w:t>,</w:t>
      </w:r>
      <w:r>
        <w:rPr>
          <w:rFonts w:ascii="Arial" w:hAnsi="Arial"/>
          <w:rtl/>
        </w:rPr>
        <w:t xml:space="preserve"> ואף יציין בהסכמי העסקה עם עובדיו כי הוא מתחייב מראש להשאיר סכום זה בביטוח הפנסיוני בו בחר העובד בכל מקרה</w:t>
      </w:r>
      <w:r>
        <w:rPr>
          <w:rFonts w:ascii="Arial" w:hAnsi="Arial" w:hint="cs"/>
          <w:rtl/>
        </w:rPr>
        <w:t xml:space="preserve"> </w:t>
      </w:r>
      <w:r>
        <w:rPr>
          <w:rFonts w:ascii="Arial" w:hAnsi="Arial"/>
          <w:rtl/>
        </w:rPr>
        <w:t xml:space="preserve">(דהיינו גם אם </w:t>
      </w:r>
      <w:r>
        <w:rPr>
          <w:rtl/>
          <w:lang w:eastAsia="en-US"/>
        </w:rPr>
        <w:t>העובד</w:t>
      </w:r>
      <w:r>
        <w:rPr>
          <w:rFonts w:ascii="Arial" w:hAnsi="Arial"/>
          <w:rtl/>
        </w:rPr>
        <w:t xml:space="preserve"> לא פוטר או עבד פחות משנה או </w:t>
      </w:r>
      <w:r>
        <w:rPr>
          <w:rFonts w:ascii="Arial" w:hAnsi="Arial" w:hint="cs"/>
          <w:rtl/>
        </w:rPr>
        <w:t>מ</w:t>
      </w:r>
      <w:r>
        <w:rPr>
          <w:rFonts w:ascii="Arial" w:hAnsi="Arial"/>
          <w:rtl/>
        </w:rPr>
        <w:t>כל סיבה אחרת</w:t>
      </w:r>
      <w:r>
        <w:rPr>
          <w:rFonts w:ascii="Arial" w:hAnsi="Arial" w:hint="cs"/>
          <w:rtl/>
        </w:rPr>
        <w:t>.</w:t>
      </w:r>
      <w:r>
        <w:rPr>
          <w:rFonts w:ascii="Arial" w:hAnsi="Arial"/>
          <w:rtl/>
        </w:rPr>
        <w:t xml:space="preserve"> הסכום שהופרש בגין פיצויים ישאר בקופת</w:t>
      </w:r>
      <w:r>
        <w:rPr>
          <w:rFonts w:ascii="Arial" w:hAnsi="Arial" w:hint="cs"/>
          <w:rtl/>
        </w:rPr>
        <w:t xml:space="preserve"> העובד</w:t>
      </w:r>
      <w:r>
        <w:rPr>
          <w:rFonts w:ascii="Arial" w:hAnsi="Arial"/>
          <w:rtl/>
        </w:rPr>
        <w:t>)</w:t>
      </w:r>
      <w:r>
        <w:rPr>
          <w:rFonts w:ascii="Arial" w:hAnsi="Arial" w:hint="cs"/>
          <w:rtl/>
        </w:rPr>
        <w:t>. הפרשות אלו תבוצענה ע"י הספק בגין כל העובדים במסגרת השירותים הניתנים למשרד עקב זכייתו של הספק במכרז, בכל היקף העסקה שהוא ע"י הספק</w:t>
      </w:r>
      <w:r>
        <w:rPr>
          <w:rFonts w:hint="cs"/>
          <w:rtl/>
        </w:rPr>
        <w:t xml:space="preserve"> ועל פי החלק היחסי. מובהר בזאת כי הפרשה זו הינה חובה וכי ככל שיוכח כי עובד מעובדי הספק אינו מעונין בהפרשה זו, יחויב הספק להשיב למשרד החינוך מידי חודש את הסכומים אשר נחסכו כתוצאה מכך שאותו עובד לא בוטח בביטוח פנסיוני.</w:t>
      </w:r>
    </w:p>
    <w:p>
      <w:pPr>
        <w:widowControl w:val="0"/>
        <w:numPr>
          <w:ilvl w:val="1"/>
          <w:numId w:val="5"/>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pPr>
        <w:widowControl w:val="0"/>
        <w:numPr>
          <w:ilvl w:val="1"/>
          <w:numId w:val="5"/>
        </w:numPr>
        <w:tabs>
          <w:tab w:val="clear" w:pos="3708"/>
          <w:tab w:val="left" w:pos="1984"/>
        </w:tabs>
        <w:spacing w:after="160" w:line="300" w:lineRule="atLeast"/>
        <w:ind w:left="1984" w:right="0" w:hanging="567"/>
      </w:pPr>
      <w:r>
        <w:rPr>
          <w:rFonts w:hint="cs"/>
          <w:rtl/>
        </w:rPr>
        <w:t>להעניק לעובדיו חופשות וימי מחלה כפי שנקבע בכל דין.</w:t>
      </w:r>
    </w:p>
    <w:p>
      <w:pPr>
        <w:widowControl w:val="0"/>
        <w:numPr>
          <w:ilvl w:val="1"/>
          <w:numId w:val="5"/>
        </w:numPr>
        <w:tabs>
          <w:tab w:val="clear" w:pos="3708"/>
          <w:tab w:val="left" w:pos="1984"/>
        </w:tabs>
        <w:spacing w:after="160" w:line="300" w:lineRule="atLeast"/>
        <w:ind w:left="1984" w:right="0" w:hanging="567"/>
      </w:pPr>
      <w:r>
        <w:rPr>
          <w:rFonts w:hint="cs"/>
          <w:rtl/>
        </w:rPr>
        <w:t>לשלם לעובדיו קצובת נסיעה כפי שנקבע בהסכם הקיבוצי אשר הוחל בצו הרחבה על כלל העובדים במשק.</w:t>
      </w:r>
    </w:p>
    <w:p>
      <w:pPr>
        <w:widowControl w:val="0"/>
        <w:numPr>
          <w:ilvl w:val="1"/>
          <w:numId w:val="5"/>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הספק לקחת בחשבון את היקף העסקת עובדיו, בכל יום ויום, בכל הפרוייקטים שבו הוא מעסיק אותם, כך שיעמוד בתנאי החוק. </w:t>
      </w:r>
    </w:p>
    <w:p>
      <w:pPr>
        <w:widowControl w:val="0"/>
        <w:tabs>
          <w:tab w:val="left" w:pos="1984"/>
        </w:tabs>
        <w:spacing w:line="300" w:lineRule="atLeast"/>
        <w:ind w:left="1417" w:right="2883"/>
      </w:pPr>
    </w:p>
    <w:p>
      <w:pPr>
        <w:widowControl w:val="0"/>
        <w:numPr>
          <w:ilvl w:val="1"/>
          <w:numId w:val="9"/>
        </w:numPr>
        <w:spacing w:line="300" w:lineRule="atLeast"/>
        <w:rPr>
          <w:rtl/>
        </w:rPr>
      </w:pPr>
      <w:r>
        <w:rPr>
          <w:rFonts w:hint="cs"/>
          <w:rtl/>
        </w:rPr>
        <w:t>ועדת המכרזים רשאית לפסול הצעה, שעל פי דף עזר לחישוב הצעת המחיר עולה כי בקיום ההתקשרות ייפגעו זכויות עובדים זולת אם החליטה אחרת מטעמים מיוחדים שיירשמו.</w:t>
      </w:r>
    </w:p>
    <w:p>
      <w:pPr>
        <w:widowControl w:val="0"/>
        <w:spacing w:line="300" w:lineRule="atLeast"/>
        <w:rPr>
          <w:rtl/>
        </w:rPr>
      </w:pPr>
    </w:p>
    <w:p>
      <w:pPr>
        <w:widowControl w:val="0"/>
        <w:numPr>
          <w:ilvl w:val="1"/>
          <w:numId w:val="9"/>
        </w:numPr>
        <w:spacing w:line="300" w:lineRule="atLeast"/>
        <w:rPr>
          <w:rtl/>
        </w:rPr>
      </w:pPr>
      <w:r>
        <w:rPr>
          <w:rFonts w:hint="cs"/>
          <w:rtl/>
        </w:rPr>
        <w:t xml:space="preserve">הספק מתחייב לידע את כל עובדיו על מלוא זכויותיהם בעניין כאמור לעיל. לצורך כך יכין נוסח </w:t>
      </w:r>
      <w:r>
        <w:rPr>
          <w:rFonts w:hint="cs"/>
          <w:rtl/>
        </w:rPr>
        <w:lastRenderedPageBreak/>
        <w:t>של דף מידע שלו הכולל את המידע הנדרש, ואשר ימסר ע"י הספק לכל עובדיו, לפני תחילת העסקתם על ידו בפרוייקט. כן מתחייב הספק לצרף דף המידע לכל חוזה העסקה עם עובדיו בפרוייקט. בדף המידע אף יובהר לכל עובד כי אינו רשאי לותר על זכות מהזכויות הנ"ל.</w:t>
      </w:r>
    </w:p>
    <w:p>
      <w:pPr>
        <w:widowControl w:val="0"/>
        <w:spacing w:line="300" w:lineRule="atLeast"/>
        <w:ind w:left="1418"/>
        <w:rPr>
          <w:rtl/>
        </w:rPr>
      </w:pPr>
    </w:p>
    <w:p>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שהספק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pPr>
        <w:pStyle w:val="aff2"/>
        <w:widowControl w:val="0"/>
        <w:spacing w:line="300" w:lineRule="atLeast"/>
        <w:rPr>
          <w:rtl/>
        </w:rPr>
      </w:pPr>
    </w:p>
    <w:p>
      <w:pPr>
        <w:pStyle w:val="2"/>
        <w:keepNext w:val="0"/>
        <w:widowControl w:val="0"/>
        <w:numPr>
          <w:ilvl w:val="1"/>
          <w:numId w:val="9"/>
        </w:numPr>
        <w:spacing w:before="0" w:after="0" w:line="300" w:lineRule="atLeast"/>
        <w:ind w:right="0"/>
        <w:rPr>
          <w:i w:val="0"/>
          <w:rtl/>
          <w:lang w:eastAsia="en-US"/>
        </w:rPr>
      </w:pPr>
      <w:r>
        <w:rPr>
          <w:rFonts w:hint="cs"/>
          <w:i w:val="0"/>
          <w:rtl/>
          <w:lang w:eastAsia="en-US"/>
        </w:rPr>
        <w:t>כח האדם לביצוע הפרוייקט</w:t>
      </w:r>
    </w:p>
    <w:p>
      <w:pPr>
        <w:widowControl w:val="0"/>
        <w:spacing w:line="300" w:lineRule="atLeast"/>
        <w:ind w:left="1418"/>
        <w:rPr>
          <w:b/>
          <w:bCs/>
          <w:rtl/>
        </w:rPr>
      </w:pPr>
    </w:p>
    <w:p>
      <w:pPr>
        <w:widowControl w:val="0"/>
        <w:spacing w:line="300" w:lineRule="atLeast"/>
        <w:ind w:left="1418"/>
        <w:rPr>
          <w:b/>
          <w:bCs/>
          <w:rtl/>
        </w:rPr>
      </w:pPr>
      <w:r>
        <w:rPr>
          <w:rFonts w:hint="cs"/>
          <w:b/>
          <w:bCs/>
          <w:rtl/>
        </w:rPr>
        <w:t xml:space="preserve">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w:t>
      </w:r>
      <w:bookmarkStart w:id="23" w:name="_Hlk165450148"/>
      <w:r>
        <w:rPr>
          <w:rFonts w:hint="cs"/>
          <w:b/>
          <w:bCs/>
          <w:rtl/>
        </w:rPr>
        <w:t>בהתאם להוראות החוק "</w:t>
      </w:r>
      <w:r>
        <w:rPr>
          <w:b/>
          <w:bCs/>
          <w:rtl/>
        </w:rPr>
        <w:t xml:space="preserve">למניעת העסקה של עברייני מין </w:t>
      </w:r>
      <w:r>
        <w:rPr>
          <w:rFonts w:hint="cs"/>
          <w:b/>
          <w:bCs/>
          <w:rtl/>
        </w:rPr>
        <w:t>במוסדות מסוימים</w:t>
      </w:r>
      <w:r>
        <w:rPr>
          <w:b/>
          <w:bCs/>
          <w:rtl/>
        </w:rPr>
        <w:t>, התשס"א-2001</w:t>
      </w:r>
      <w:r>
        <w:rPr>
          <w:rFonts w:hint="cs"/>
          <w:b/>
          <w:bCs/>
          <w:rtl/>
        </w:rPr>
        <w:t xml:space="preserve">" </w:t>
      </w:r>
      <w:bookmarkEnd w:id="23"/>
      <w:r>
        <w:rPr>
          <w:b/>
          <w:bCs/>
          <w:rtl/>
        </w:rPr>
        <w:t>–</w:t>
      </w:r>
      <w:r>
        <w:rPr>
          <w:rFonts w:hint="cs"/>
          <w:b/>
          <w:bCs/>
          <w:rtl/>
        </w:rPr>
        <w:t xml:space="preserve"> ראה </w:t>
      </w:r>
      <w:bookmarkStart w:id="24" w:name="_Hlk165450191"/>
      <w:r>
        <w:rPr>
          <w:rFonts w:hint="cs"/>
          <w:b/>
          <w:bCs/>
          <w:rtl/>
        </w:rPr>
        <w:t xml:space="preserve">טופס 3 של תקנות "למניעת העסקה של עברייני מין במוסד המכוון למתן שרות לקטינים (אישור משטרה) תשס"ג </w:t>
      </w:r>
      <w:r>
        <w:rPr>
          <w:b/>
          <w:bCs/>
          <w:rtl/>
        </w:rPr>
        <w:t>–</w:t>
      </w:r>
      <w:r>
        <w:rPr>
          <w:rFonts w:hint="cs"/>
          <w:b/>
          <w:bCs/>
          <w:rtl/>
        </w:rPr>
        <w:t>2003".</w:t>
      </w:r>
    </w:p>
    <w:bookmarkEnd w:id="24"/>
    <w:p>
      <w:pPr>
        <w:widowControl w:val="0"/>
        <w:spacing w:line="300" w:lineRule="atLeast"/>
        <w:ind w:left="1418"/>
        <w:rPr>
          <w:b/>
          <w:bCs/>
          <w:rtl/>
        </w:rPr>
      </w:pPr>
      <w:r>
        <w:rPr>
          <w:rFonts w:hint="cs"/>
          <w:b/>
          <w:bCs/>
          <w:rtl/>
        </w:rPr>
        <w:t>על הספק המפעיל להגיש את הבקשה למשטרה על גבי טופס 3 המצורף לתקנה.</w:t>
      </w:r>
    </w:p>
    <w:p>
      <w:pPr>
        <w:widowControl w:val="0"/>
        <w:spacing w:line="300" w:lineRule="atLeast"/>
        <w:ind w:left="1418"/>
        <w:rPr>
          <w:b/>
          <w:bCs/>
          <w:rtl/>
        </w:rPr>
      </w:pPr>
      <w:r>
        <w:rPr>
          <w:rFonts w:hint="cs"/>
          <w:b/>
          <w:bCs/>
          <w:rtl/>
        </w:rPr>
        <w:t>בנספח 3 מובא נוסח התקנה והטפסים הנדרשים.</w:t>
      </w:r>
    </w:p>
    <w:p>
      <w:pPr>
        <w:widowControl w:val="0"/>
        <w:spacing w:line="300" w:lineRule="atLeast"/>
        <w:rPr>
          <w:rtl/>
          <w:lang w:eastAsia="en-US"/>
        </w:rPr>
      </w:pPr>
    </w:p>
    <w:p>
      <w:pPr>
        <w:pStyle w:val="2"/>
        <w:keepNext w:val="0"/>
        <w:widowControl w:val="0"/>
        <w:numPr>
          <w:ilvl w:val="2"/>
          <w:numId w:val="9"/>
        </w:numPr>
        <w:spacing w:before="0" w:after="0" w:line="300" w:lineRule="atLeast"/>
        <w:ind w:right="0"/>
        <w:rPr>
          <w:i w:val="0"/>
          <w:rtl/>
          <w:lang w:eastAsia="en-US"/>
        </w:rPr>
      </w:pPr>
      <w:r>
        <w:rPr>
          <w:rFonts w:hint="cs"/>
          <w:i w:val="0"/>
          <w:rtl/>
          <w:lang w:eastAsia="en-US"/>
        </w:rPr>
        <w:t>מתאם פעילות אזורי</w:t>
      </w:r>
    </w:p>
    <w:p>
      <w:pPr>
        <w:widowControl w:val="0"/>
        <w:spacing w:line="300" w:lineRule="atLeast"/>
        <w:ind w:left="2268"/>
        <w:rPr>
          <w:rtl/>
        </w:rPr>
      </w:pPr>
    </w:p>
    <w:p>
      <w:pPr>
        <w:widowControl w:val="0"/>
        <w:spacing w:line="300" w:lineRule="atLeast"/>
        <w:ind w:left="2268"/>
        <w:rPr>
          <w:rtl/>
        </w:rPr>
      </w:pPr>
      <w:r>
        <w:rPr>
          <w:rFonts w:hint="cs"/>
          <w:rtl/>
        </w:rPr>
        <w:t xml:space="preserve">על הקבלן להעסיק מתאם פעילות אזורי שיהיה בעל תואר ראשון לפחות ובעל ניסיון של </w:t>
      </w:r>
      <w:r>
        <w:rPr>
          <w:rFonts w:hint="cs"/>
          <w:b/>
          <w:bCs/>
          <w:rtl/>
        </w:rPr>
        <w:t>3</w:t>
      </w:r>
      <w:r>
        <w:rPr>
          <w:rFonts w:hint="cs"/>
          <w:rtl/>
        </w:rPr>
        <w:t xml:space="preserve"> שנים לפחות שנצבר במהלך 5 השנים אחרונות בניהול פרוייקט אחד לפחות, המיועד לתלמידים בהיקף כולל של לפחות </w:t>
      </w:r>
      <w:r>
        <w:rPr>
          <w:rFonts w:hint="cs"/>
          <w:b/>
          <w:bCs/>
          <w:rtl/>
        </w:rPr>
        <w:t>100</w:t>
      </w:r>
      <w:r>
        <w:rPr>
          <w:rFonts w:hint="cs"/>
          <w:rtl/>
        </w:rPr>
        <w:t xml:space="preserve"> תלמידים בפרוייקט.</w:t>
      </w:r>
    </w:p>
    <w:p>
      <w:pPr>
        <w:widowControl w:val="0"/>
        <w:spacing w:line="300" w:lineRule="atLeast"/>
        <w:ind w:left="2268"/>
        <w:rPr>
          <w:rtl/>
        </w:rPr>
      </w:pPr>
    </w:p>
    <w:p>
      <w:pPr>
        <w:pStyle w:val="2"/>
        <w:keepNext w:val="0"/>
        <w:widowControl w:val="0"/>
        <w:numPr>
          <w:ilvl w:val="2"/>
          <w:numId w:val="9"/>
        </w:numPr>
        <w:spacing w:before="0" w:after="0" w:line="280" w:lineRule="atLeast"/>
        <w:ind w:right="0"/>
        <w:rPr>
          <w:i w:val="0"/>
          <w:lang w:eastAsia="en-US"/>
        </w:rPr>
      </w:pPr>
      <w:r>
        <w:rPr>
          <w:rFonts w:hint="cs"/>
          <w:i w:val="0"/>
          <w:rtl/>
          <w:lang w:eastAsia="en-US"/>
        </w:rPr>
        <w:t>רכז אקדמי אזורי</w:t>
      </w:r>
    </w:p>
    <w:p>
      <w:pPr>
        <w:spacing w:line="280" w:lineRule="atLeast"/>
        <w:ind w:left="2835"/>
        <w:rPr>
          <w:rtl/>
          <w:lang w:eastAsia="en-US"/>
        </w:rPr>
      </w:pPr>
    </w:p>
    <w:p>
      <w:pPr>
        <w:spacing w:line="280" w:lineRule="atLeast"/>
        <w:ind w:left="2268"/>
        <w:rPr>
          <w:rtl/>
        </w:rPr>
      </w:pPr>
      <w:r>
        <w:rPr>
          <w:rFonts w:hint="cs"/>
          <w:rtl/>
        </w:rPr>
        <w:t>לביצוע כל תוכנית רכז אקדמי אזורי יהיה אחראי מטעם הספק.</w:t>
      </w:r>
    </w:p>
    <w:p>
      <w:pPr>
        <w:spacing w:line="280" w:lineRule="atLeast"/>
        <w:ind w:left="2268"/>
        <w:rPr>
          <w:rtl/>
          <w:lang w:eastAsia="en-US"/>
        </w:rPr>
      </w:pPr>
      <w:r>
        <w:rPr>
          <w:rFonts w:hint="cs"/>
          <w:rtl/>
          <w:lang w:eastAsia="en-US"/>
        </w:rPr>
        <w:t xml:space="preserve"> רכז אקדמי אזורי יהיה </w:t>
      </w:r>
      <w:r>
        <w:rPr>
          <w:rtl/>
          <w:lang w:eastAsia="en-US"/>
        </w:rPr>
        <w:t xml:space="preserve">בעל תואר שני </w:t>
      </w:r>
      <w:r>
        <w:rPr>
          <w:rtl/>
        </w:rPr>
        <w:t>לפחות</w:t>
      </w:r>
      <w:r>
        <w:rPr>
          <w:rtl/>
          <w:lang w:eastAsia="en-US"/>
        </w:rPr>
        <w:t xml:space="preserve"> </w:t>
      </w:r>
      <w:r>
        <w:rPr>
          <w:rFonts w:hint="cs"/>
          <w:rtl/>
          <w:lang w:eastAsia="en-US"/>
        </w:rPr>
        <w:t xml:space="preserve">באחד מתחומי </w:t>
      </w:r>
      <w:r>
        <w:rPr>
          <w:rtl/>
          <w:lang w:eastAsia="en-US"/>
        </w:rPr>
        <w:t>המדע הרלוונטי</w:t>
      </w:r>
      <w:r>
        <w:rPr>
          <w:rFonts w:hint="cs"/>
          <w:rtl/>
          <w:lang w:eastAsia="en-US"/>
        </w:rPr>
        <w:t xml:space="preserve">ים לפעילות. </w:t>
      </w:r>
    </w:p>
    <w:p>
      <w:pPr>
        <w:spacing w:line="280" w:lineRule="atLeast"/>
        <w:ind w:left="2268"/>
        <w:rPr>
          <w:rtl/>
          <w:lang w:eastAsia="en-US"/>
        </w:rPr>
      </w:pPr>
    </w:p>
    <w:p>
      <w:pPr>
        <w:spacing w:line="280" w:lineRule="atLeast"/>
        <w:ind w:left="2268"/>
        <w:rPr>
          <w:rtl/>
          <w:lang w:eastAsia="en-US"/>
        </w:rPr>
      </w:pPr>
      <w:r>
        <w:rPr>
          <w:rFonts w:hint="cs"/>
          <w:rtl/>
        </w:rPr>
        <w:t>הרכז</w:t>
      </w:r>
      <w:r>
        <w:rPr>
          <w:rFonts w:hint="cs"/>
          <w:rtl/>
          <w:lang w:eastAsia="en-US"/>
        </w:rPr>
        <w:t xml:space="preserve"> יהיה בעל ניסיון של </w:t>
      </w:r>
      <w:r>
        <w:rPr>
          <w:rFonts w:hint="cs"/>
          <w:b/>
          <w:bCs/>
          <w:rtl/>
          <w:lang w:eastAsia="en-US"/>
        </w:rPr>
        <w:t>3</w:t>
      </w:r>
      <w:r>
        <w:rPr>
          <w:rFonts w:hint="cs"/>
          <w:rtl/>
          <w:lang w:eastAsia="en-US"/>
        </w:rPr>
        <w:t xml:space="preserve"> שנים לפחות שנצבר במהלך 5 השנים האחרונות בבנייה וליווי תוכנית לימוד אחת לפחות לילדים ובני נוער </w:t>
      </w:r>
      <w:r>
        <w:rPr>
          <w:rFonts w:hint="cs"/>
          <w:rtl/>
        </w:rPr>
        <w:t>בתחומי</w:t>
      </w:r>
      <w:r>
        <w:rPr>
          <w:rFonts w:hint="cs"/>
          <w:rtl/>
          <w:lang w:eastAsia="en-US"/>
        </w:rPr>
        <w:t xml:space="preserve"> המדע השונים בהיקף של לפחות </w:t>
      </w:r>
      <w:r>
        <w:rPr>
          <w:rFonts w:hint="cs"/>
          <w:b/>
          <w:bCs/>
          <w:rtl/>
          <w:lang w:eastAsia="en-US"/>
        </w:rPr>
        <w:t>100</w:t>
      </w:r>
      <w:r>
        <w:rPr>
          <w:rFonts w:hint="cs"/>
          <w:rtl/>
          <w:lang w:eastAsia="en-US"/>
        </w:rPr>
        <w:t xml:space="preserve"> שעות </w:t>
      </w:r>
      <w:r>
        <w:rPr>
          <w:rFonts w:hint="eastAsia"/>
          <w:rtl/>
          <w:lang w:eastAsia="en-US"/>
        </w:rPr>
        <w:t>שנתיות</w:t>
      </w:r>
      <w:r>
        <w:rPr>
          <w:rFonts w:hint="cs"/>
          <w:rtl/>
          <w:lang w:eastAsia="en-US"/>
        </w:rPr>
        <w:t>.</w:t>
      </w:r>
    </w:p>
    <w:p>
      <w:pPr>
        <w:spacing w:line="280" w:lineRule="atLeast"/>
        <w:rPr>
          <w:rtl/>
          <w:lang w:eastAsia="en-US"/>
        </w:rPr>
      </w:pPr>
    </w:p>
    <w:p>
      <w:pPr>
        <w:spacing w:line="280" w:lineRule="atLeast"/>
        <w:ind w:left="2268"/>
        <w:rPr>
          <w:rtl/>
          <w:lang w:eastAsia="en-US"/>
        </w:rPr>
      </w:pPr>
      <w:r>
        <w:rPr>
          <w:rFonts w:hint="cs"/>
          <w:rtl/>
          <w:lang w:eastAsia="en-US"/>
        </w:rPr>
        <w:t xml:space="preserve">הרכז האקדמי יהיה האחראי לבניית תוכנית הפעילות, ימי לימוד אקדמיים / מפגשים </w:t>
      </w:r>
      <w:r>
        <w:rPr>
          <w:rFonts w:hint="cs"/>
          <w:rtl/>
        </w:rPr>
        <w:t>מדעיים</w:t>
      </w:r>
      <w:r>
        <w:rPr>
          <w:rFonts w:hint="cs"/>
          <w:rtl/>
          <w:lang w:eastAsia="en-US"/>
        </w:rPr>
        <w:t>/ קורס / סמינר וכו</w:t>
      </w:r>
      <w:smartTag w:uri="urn:schemas-microsoft-com:office:smarttags" w:element="PersonName">
        <w:r>
          <w:rPr>
            <w:rFonts w:hint="cs"/>
            <w:rtl/>
            <w:lang w:eastAsia="en-US"/>
          </w:rPr>
          <w:t>'</w:t>
        </w:r>
      </w:smartTag>
      <w:r>
        <w:rPr>
          <w:rFonts w:hint="cs"/>
          <w:rtl/>
          <w:lang w:eastAsia="en-US"/>
        </w:rPr>
        <w:t xml:space="preserve">. </w:t>
      </w:r>
    </w:p>
    <w:p>
      <w:pPr>
        <w:spacing w:line="280" w:lineRule="atLeast"/>
        <w:ind w:left="2268"/>
        <w:rPr>
          <w:rtl/>
          <w:lang w:eastAsia="en-US"/>
        </w:rPr>
      </w:pPr>
      <w:r>
        <w:rPr>
          <w:rFonts w:hint="cs"/>
          <w:rtl/>
          <w:lang w:eastAsia="en-US"/>
        </w:rPr>
        <w:t xml:space="preserve">הרכז יהיה אחראי על - שיבוץ מרצים המתאימים לביצוע התכניות, ליווי ביצוע התוכניות בפועל, ביצוע שוטף וטיפול בתקלות ובעיות שעשויות להתעורר במהלך התכנית, ביצוע משוב תלמידים ומורים לפעילויות ויגיש דוחות תכנון, ביצוע ומשוב לאגף </w:t>
      </w:r>
      <w:r>
        <w:rPr>
          <w:rFonts w:hint="cs"/>
          <w:b/>
          <w:bCs/>
          <w:rtl/>
          <w:lang w:eastAsia="en-US"/>
        </w:rPr>
        <w:t>4</w:t>
      </w:r>
      <w:r>
        <w:rPr>
          <w:rFonts w:hint="cs"/>
          <w:rtl/>
          <w:lang w:eastAsia="en-US"/>
        </w:rPr>
        <w:t xml:space="preserve"> פעמים בשנה (דו"ח תכנון בתחילת שנת הפעילות, דוחות ביצוע ומשוב בסיום שנת הפעילות).</w:t>
      </w:r>
    </w:p>
    <w:p>
      <w:pPr>
        <w:widowControl w:val="0"/>
        <w:spacing w:line="300" w:lineRule="atLeast"/>
        <w:ind w:left="2268"/>
        <w:rPr>
          <w:rtl/>
        </w:rPr>
      </w:pPr>
    </w:p>
    <w:p>
      <w:pPr>
        <w:widowControl w:val="0"/>
        <w:spacing w:line="300" w:lineRule="atLeast"/>
        <w:ind w:left="2268"/>
        <w:rPr>
          <w:rtl/>
        </w:rPr>
      </w:pPr>
    </w:p>
    <w:p>
      <w:pPr>
        <w:widowControl w:val="0"/>
        <w:spacing w:line="300" w:lineRule="atLeast"/>
        <w:ind w:left="2268"/>
        <w:rPr>
          <w:rtl/>
        </w:rPr>
      </w:pPr>
    </w:p>
    <w:p>
      <w:pPr>
        <w:widowControl w:val="0"/>
        <w:spacing w:line="300" w:lineRule="atLeast"/>
        <w:ind w:left="2268"/>
        <w:rPr>
          <w:rtl/>
        </w:rPr>
      </w:pPr>
    </w:p>
    <w:p>
      <w:pPr>
        <w:pStyle w:val="2"/>
        <w:keepNext w:val="0"/>
        <w:widowControl w:val="0"/>
        <w:numPr>
          <w:ilvl w:val="2"/>
          <w:numId w:val="9"/>
        </w:numPr>
        <w:spacing w:before="0" w:after="0" w:line="280" w:lineRule="atLeast"/>
        <w:ind w:right="0"/>
        <w:rPr>
          <w:i w:val="0"/>
          <w:rtl/>
          <w:lang w:eastAsia="en-US"/>
        </w:rPr>
      </w:pPr>
      <w:r>
        <w:rPr>
          <w:rFonts w:hint="cs"/>
          <w:i w:val="0"/>
          <w:rtl/>
          <w:lang w:eastAsia="en-US"/>
        </w:rPr>
        <w:t>מרצים לביצוע התוכניות</w:t>
      </w:r>
    </w:p>
    <w:p>
      <w:pPr>
        <w:spacing w:line="280" w:lineRule="atLeast"/>
        <w:ind w:left="2268"/>
        <w:rPr>
          <w:rtl/>
          <w:lang w:eastAsia="en-US"/>
        </w:rPr>
      </w:pPr>
    </w:p>
    <w:p>
      <w:pPr>
        <w:numPr>
          <w:ilvl w:val="3"/>
          <w:numId w:val="9"/>
        </w:numPr>
        <w:spacing w:line="280" w:lineRule="atLeast"/>
        <w:rPr>
          <w:rtl/>
          <w:lang w:eastAsia="en-US"/>
        </w:rPr>
      </w:pPr>
      <w:r>
        <w:rPr>
          <w:rFonts w:hint="cs"/>
          <w:rtl/>
          <w:lang w:eastAsia="en-US"/>
        </w:rPr>
        <w:t>המרצים בסמינרים המחקריים ובקורסים המדעיים יהיו :</w:t>
      </w:r>
    </w:p>
    <w:p>
      <w:pPr>
        <w:spacing w:line="280" w:lineRule="atLeast"/>
        <w:ind w:left="2268"/>
        <w:rPr>
          <w:rtl/>
          <w:lang w:eastAsia="en-US"/>
        </w:rPr>
      </w:pPr>
    </w:p>
    <w:p>
      <w:pPr>
        <w:spacing w:line="280" w:lineRule="atLeast"/>
        <w:ind w:left="2268"/>
        <w:rPr>
          <w:rtl/>
          <w:lang w:eastAsia="en-US"/>
        </w:rPr>
      </w:pPr>
      <w:r>
        <w:rPr>
          <w:rFonts w:hint="cs"/>
          <w:rtl/>
          <w:lang w:eastAsia="en-US"/>
        </w:rPr>
        <w:t xml:space="preserve">בעלי תואר שלישי בתחום </w:t>
      </w:r>
      <w:r>
        <w:rPr>
          <w:rFonts w:hint="cs"/>
          <w:rtl/>
        </w:rPr>
        <w:t>הדעת</w:t>
      </w:r>
      <w:r>
        <w:rPr>
          <w:rFonts w:hint="cs"/>
          <w:rtl/>
          <w:lang w:eastAsia="en-US"/>
        </w:rPr>
        <w:t xml:space="preserve"> בו עוסק הסמינר / הקורס</w:t>
      </w:r>
    </w:p>
    <w:p>
      <w:pPr>
        <w:spacing w:line="280" w:lineRule="atLeast"/>
        <w:ind w:left="3402" w:firstLine="567"/>
        <w:rPr>
          <w:rtl/>
          <w:lang w:eastAsia="en-US"/>
        </w:rPr>
      </w:pPr>
      <w:r>
        <w:rPr>
          <w:rFonts w:hint="cs"/>
          <w:rtl/>
          <w:lang w:eastAsia="en-US"/>
        </w:rPr>
        <w:t xml:space="preserve">- או </w:t>
      </w:r>
      <w:r>
        <w:rPr>
          <w:rtl/>
          <w:lang w:eastAsia="en-US"/>
        </w:rPr>
        <w:t>–</w:t>
      </w:r>
    </w:p>
    <w:p>
      <w:pPr>
        <w:spacing w:line="280" w:lineRule="atLeast"/>
        <w:ind w:left="2268"/>
        <w:rPr>
          <w:rtl/>
          <w:lang w:eastAsia="en-US"/>
        </w:rPr>
      </w:pPr>
      <w:r>
        <w:rPr>
          <w:rFonts w:hint="cs"/>
          <w:rtl/>
          <w:lang w:eastAsia="en-US"/>
        </w:rPr>
        <w:t>דוקטורנטים בשלבים מתקדמים לקראת התואר השלישי.</w:t>
      </w:r>
    </w:p>
    <w:p>
      <w:pPr>
        <w:spacing w:line="280" w:lineRule="atLeast"/>
        <w:ind w:left="2268"/>
        <w:rPr>
          <w:rtl/>
        </w:rPr>
      </w:pPr>
    </w:p>
    <w:p>
      <w:pPr>
        <w:numPr>
          <w:ilvl w:val="3"/>
          <w:numId w:val="9"/>
        </w:numPr>
        <w:spacing w:line="280" w:lineRule="atLeast"/>
        <w:rPr>
          <w:lang w:eastAsia="en-US"/>
        </w:rPr>
      </w:pPr>
      <w:r>
        <w:rPr>
          <w:rFonts w:hint="cs"/>
          <w:rtl/>
        </w:rPr>
        <w:t>המרצים</w:t>
      </w:r>
      <w:r>
        <w:rPr>
          <w:rFonts w:hint="cs"/>
          <w:rtl/>
          <w:lang w:eastAsia="en-US"/>
        </w:rPr>
        <w:t xml:space="preserve"> </w:t>
      </w:r>
      <w:r>
        <w:rPr>
          <w:rFonts w:hint="cs"/>
          <w:color w:val="000000"/>
          <w:rtl/>
          <w:lang w:eastAsia="en-US"/>
        </w:rPr>
        <w:t>בימי הלימוד האקדמיים ובמפגשים המדעיים</w:t>
      </w:r>
      <w:r>
        <w:rPr>
          <w:rFonts w:hint="cs"/>
          <w:rtl/>
          <w:lang w:eastAsia="en-US"/>
        </w:rPr>
        <w:t xml:space="preserve"> יהיו:</w:t>
      </w:r>
    </w:p>
    <w:p>
      <w:pPr>
        <w:spacing w:line="280" w:lineRule="atLeast"/>
        <w:ind w:left="2835"/>
        <w:rPr>
          <w:rtl/>
          <w:lang w:eastAsia="en-US"/>
        </w:rPr>
      </w:pPr>
      <w:r>
        <w:rPr>
          <w:rFonts w:hint="cs"/>
          <w:rtl/>
          <w:lang w:eastAsia="en-US"/>
        </w:rPr>
        <w:t xml:space="preserve"> אקדמאים בוגרי תואר שני </w:t>
      </w:r>
    </w:p>
    <w:p>
      <w:pPr>
        <w:spacing w:line="280" w:lineRule="atLeast"/>
        <w:ind w:left="3969"/>
        <w:rPr>
          <w:rtl/>
          <w:lang w:eastAsia="en-US"/>
        </w:rPr>
      </w:pPr>
      <w:r>
        <w:rPr>
          <w:rFonts w:hint="cs"/>
          <w:rtl/>
          <w:lang w:eastAsia="en-US"/>
        </w:rPr>
        <w:t xml:space="preserve">- או </w:t>
      </w:r>
      <w:r>
        <w:rPr>
          <w:rtl/>
          <w:lang w:eastAsia="en-US"/>
        </w:rPr>
        <w:t>–</w:t>
      </w:r>
    </w:p>
    <w:p>
      <w:pPr>
        <w:spacing w:line="280" w:lineRule="atLeast"/>
        <w:ind w:left="2835"/>
        <w:rPr>
          <w:rtl/>
          <w:lang w:eastAsia="en-US"/>
        </w:rPr>
      </w:pPr>
      <w:r>
        <w:rPr>
          <w:rFonts w:hint="cs"/>
          <w:rtl/>
          <w:lang w:eastAsia="en-US"/>
        </w:rPr>
        <w:t xml:space="preserve">סטודנטים בשלבים מתקדמים לתואר שלישי בתחומי הידע השונים, בהתאם לתוכניות. </w:t>
      </w:r>
    </w:p>
    <w:p>
      <w:pPr>
        <w:spacing w:line="280" w:lineRule="atLeast"/>
        <w:rPr>
          <w:rtl/>
          <w:lang w:eastAsia="en-US"/>
        </w:rPr>
      </w:pPr>
    </w:p>
    <w:p>
      <w:pPr>
        <w:spacing w:line="280" w:lineRule="atLeast"/>
        <w:ind w:left="1361"/>
        <w:rPr>
          <w:rtl/>
          <w:lang w:eastAsia="en-US"/>
        </w:rPr>
      </w:pPr>
      <w:r>
        <w:rPr>
          <w:rFonts w:hint="cs"/>
          <w:rtl/>
          <w:lang w:eastAsia="en-US"/>
        </w:rPr>
        <w:t xml:space="preserve">המרצים בתכנית העשרה יפעילו את התוכניות השונות, יבצעו את ההתאמות </w:t>
      </w:r>
      <w:r>
        <w:rPr>
          <w:rFonts w:hint="cs"/>
          <w:rtl/>
        </w:rPr>
        <w:t>בתוכניות</w:t>
      </w:r>
      <w:r>
        <w:rPr>
          <w:rFonts w:hint="cs"/>
          <w:rtl/>
          <w:lang w:eastAsia="en-US"/>
        </w:rPr>
        <w:t xml:space="preserve"> בהתאם לדרישות בתי הספר השונים וינחו את המפגשים השונים.</w:t>
      </w:r>
    </w:p>
    <w:p>
      <w:pPr>
        <w:spacing w:line="280" w:lineRule="atLeast"/>
        <w:ind w:left="2126"/>
        <w:rPr>
          <w:rtl/>
          <w:lang w:eastAsia="en-US"/>
        </w:rPr>
      </w:pPr>
    </w:p>
    <w:p>
      <w:pPr>
        <w:pStyle w:val="2"/>
        <w:keepNext w:val="0"/>
        <w:widowControl w:val="0"/>
        <w:numPr>
          <w:ilvl w:val="2"/>
          <w:numId w:val="9"/>
        </w:numPr>
        <w:spacing w:before="0" w:after="0" w:line="300" w:lineRule="atLeast"/>
        <w:ind w:right="0"/>
        <w:rPr>
          <w:i w:val="0"/>
          <w:rtl/>
          <w:lang w:eastAsia="en-US"/>
        </w:rPr>
      </w:pPr>
      <w:r>
        <w:rPr>
          <w:rFonts w:hint="cs"/>
          <w:i w:val="0"/>
          <w:rtl/>
          <w:lang w:eastAsia="en-US"/>
        </w:rPr>
        <w:t>עובדי מינהל</w:t>
      </w:r>
    </w:p>
    <w:p>
      <w:pPr>
        <w:pStyle w:val="af3"/>
        <w:widowControl w:val="0"/>
        <w:spacing w:line="300" w:lineRule="atLeast"/>
        <w:ind w:left="2268"/>
        <w:rPr>
          <w:color w:val="000000"/>
          <w:rtl/>
          <w:lang w:eastAsia="en-US"/>
        </w:rPr>
      </w:pPr>
    </w:p>
    <w:p>
      <w:pPr>
        <w:pStyle w:val="af3"/>
        <w:widowControl w:val="0"/>
        <w:spacing w:line="300" w:lineRule="atLeast"/>
        <w:ind w:left="2268"/>
        <w:rPr>
          <w:rtl/>
          <w:lang w:eastAsia="en-US"/>
        </w:rPr>
      </w:pPr>
      <w:r>
        <w:rPr>
          <w:rFonts w:hint="cs"/>
          <w:color w:val="000000"/>
          <w:rtl/>
          <w:lang w:eastAsia="en-US"/>
        </w:rPr>
        <w:t>הספק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pPr>
        <w:widowControl w:val="0"/>
        <w:spacing w:line="300" w:lineRule="atLeast"/>
        <w:ind w:left="2268"/>
        <w:rPr>
          <w:rtl/>
        </w:rPr>
      </w:pPr>
    </w:p>
    <w:p>
      <w:pPr>
        <w:pStyle w:val="2"/>
        <w:keepNext w:val="0"/>
        <w:widowControl w:val="0"/>
        <w:numPr>
          <w:ilvl w:val="2"/>
          <w:numId w:val="9"/>
        </w:numPr>
        <w:spacing w:before="0" w:after="0" w:line="300" w:lineRule="atLeast"/>
        <w:ind w:right="0"/>
        <w:rPr>
          <w:i w:val="0"/>
          <w:rtl/>
          <w:lang w:eastAsia="en-US"/>
        </w:rPr>
      </w:pPr>
      <w:r>
        <w:rPr>
          <w:rFonts w:hint="cs"/>
          <w:i w:val="0"/>
          <w:rtl/>
          <w:lang w:eastAsia="en-US"/>
        </w:rPr>
        <w:t>ממונה אבטחת מידע</w:t>
      </w:r>
    </w:p>
    <w:p>
      <w:pPr>
        <w:widowControl w:val="0"/>
        <w:spacing w:line="300" w:lineRule="atLeast"/>
        <w:ind w:left="1701" w:firstLine="567"/>
        <w:rPr>
          <w:rtl/>
          <w:lang w:eastAsia="en-US"/>
        </w:rPr>
      </w:pPr>
    </w:p>
    <w:p>
      <w:pPr>
        <w:widowControl w:val="0"/>
        <w:spacing w:line="300" w:lineRule="atLeast"/>
        <w:ind w:left="2268"/>
        <w:rPr>
          <w:rtl/>
          <w:lang w:eastAsia="en-US"/>
        </w:rPr>
      </w:pPr>
      <w:r>
        <w:rPr>
          <w:rFonts w:hint="cs"/>
          <w:rtl/>
          <w:lang w:eastAsia="en-US"/>
        </w:rPr>
        <w:t>על הספק להעסיק ממונה אבטחת מידע שיהיה אחראי על יישום ומעקב אחר כל ההוראות כפי שפורטו בפרק אבטחת מידע במכרז זה.</w:t>
      </w:r>
    </w:p>
    <w:p>
      <w:pPr>
        <w:widowControl w:val="0"/>
        <w:spacing w:line="300" w:lineRule="atLeast"/>
        <w:ind w:left="2268"/>
        <w:rPr>
          <w:rtl/>
          <w:lang w:eastAsia="en-US"/>
        </w:rPr>
      </w:pPr>
    </w:p>
    <w:p>
      <w:pPr>
        <w:widowControl w:val="0"/>
        <w:spacing w:line="300" w:lineRule="atLeast"/>
        <w:ind w:left="2268"/>
        <w:textAlignment w:val="auto"/>
        <w:rPr>
          <w:lang w:eastAsia="en-US"/>
        </w:rPr>
      </w:pPr>
      <w:r>
        <w:rPr>
          <w:rtl/>
          <w:lang w:eastAsia="en-US"/>
        </w:rPr>
        <w:t xml:space="preserve">הממונה יהיה בעל ניסיון כמפורט בנספח </w:t>
      </w:r>
      <w:r>
        <w:rPr>
          <w:rFonts w:hint="cs"/>
          <w:b/>
          <w:bCs/>
          <w:rtl/>
          <w:lang w:eastAsia="en-US"/>
        </w:rPr>
        <w:t>4</w:t>
      </w:r>
      <w:r>
        <w:rPr>
          <w:b/>
          <w:bCs/>
          <w:rtl/>
          <w:lang w:eastAsia="en-US"/>
        </w:rPr>
        <w:t xml:space="preserve">, </w:t>
      </w:r>
      <w:r>
        <w:rPr>
          <w:rtl/>
          <w:lang w:eastAsia="en-US"/>
        </w:rPr>
        <w:t>אבטחת מידע.</w:t>
      </w:r>
    </w:p>
    <w:p>
      <w:pPr>
        <w:widowControl w:val="0"/>
        <w:spacing w:line="300" w:lineRule="atLeast"/>
        <w:ind w:left="1418"/>
        <w:rPr>
          <w:rtl/>
        </w:rPr>
      </w:pPr>
    </w:p>
    <w:p>
      <w:pPr>
        <w:pStyle w:val="2"/>
        <w:keepNext w:val="0"/>
        <w:widowControl w:val="0"/>
        <w:numPr>
          <w:ilvl w:val="1"/>
          <w:numId w:val="9"/>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pPr>
        <w:pStyle w:val="af3"/>
        <w:widowControl w:val="0"/>
        <w:spacing w:line="300" w:lineRule="atLeast"/>
        <w:ind w:left="1417"/>
        <w:jc w:val="left"/>
        <w:rPr>
          <w:rtl/>
          <w:lang w:eastAsia="en-US"/>
        </w:rPr>
      </w:pPr>
    </w:p>
    <w:p>
      <w:pPr>
        <w:widowControl w:val="0"/>
        <w:spacing w:line="300" w:lineRule="atLeast"/>
        <w:ind w:left="1417"/>
        <w:rPr>
          <w:rtl/>
          <w:lang w:eastAsia="en-US"/>
        </w:rPr>
      </w:pPr>
      <w:r>
        <w:rPr>
          <w:rFonts w:hint="cs"/>
          <w:rtl/>
          <w:lang w:eastAsia="en-US"/>
        </w:rPr>
        <w:t>על הספק להקצות על חשבונו אתר עבודה פעיל לצורך ביצוע הפעילות במסגרת פרוייקט זה.</w:t>
      </w:r>
    </w:p>
    <w:p>
      <w:pPr>
        <w:pStyle w:val="af3"/>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pPr>
        <w:pStyle w:val="af3"/>
        <w:widowControl w:val="0"/>
        <w:spacing w:line="300" w:lineRule="atLeast"/>
        <w:ind w:left="1417"/>
        <w:jc w:val="left"/>
        <w:rPr>
          <w:rtl/>
          <w:lang w:eastAsia="en-US"/>
        </w:rPr>
      </w:pPr>
    </w:p>
    <w:p>
      <w:pPr>
        <w:pStyle w:val="2"/>
        <w:keepNext w:val="0"/>
        <w:widowControl w:val="0"/>
        <w:numPr>
          <w:ilvl w:val="1"/>
          <w:numId w:val="9"/>
        </w:numPr>
        <w:spacing w:before="0" w:after="0" w:line="300" w:lineRule="atLeast"/>
        <w:ind w:right="0"/>
        <w:rPr>
          <w:position w:val="2"/>
          <w:sz w:val="22"/>
          <w:rtl/>
        </w:rPr>
      </w:pPr>
      <w:r>
        <w:rPr>
          <w:position w:val="2"/>
          <w:sz w:val="22"/>
          <w:rtl/>
        </w:rPr>
        <w:t>תשתית ממוחשבת</w:t>
      </w:r>
    </w:p>
    <w:p>
      <w:pPr>
        <w:widowControl w:val="0"/>
        <w:spacing w:line="300" w:lineRule="atLeast"/>
        <w:ind w:left="1440"/>
        <w:rPr>
          <w:position w:val="2"/>
          <w:sz w:val="22"/>
          <w:rtl/>
        </w:rPr>
      </w:pPr>
    </w:p>
    <w:p>
      <w:pPr>
        <w:widowControl w:val="0"/>
        <w:spacing w:line="300" w:lineRule="atLeast"/>
        <w:ind w:left="1417"/>
        <w:rPr>
          <w:position w:val="2"/>
          <w:sz w:val="22"/>
          <w:rtl/>
        </w:rPr>
      </w:pPr>
      <w:r>
        <w:rPr>
          <w:position w:val="2"/>
          <w:sz w:val="22"/>
          <w:rtl/>
        </w:rPr>
        <w:t xml:space="preserve">הספק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pPr>
        <w:widowControl w:val="0"/>
        <w:spacing w:line="300" w:lineRule="atLeast"/>
        <w:ind w:left="1440"/>
        <w:rPr>
          <w:position w:val="2"/>
          <w:sz w:val="22"/>
          <w:rtl/>
        </w:rPr>
      </w:pPr>
    </w:p>
    <w:p>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חובה על הספק להעביר העתק של היישום הממוחשב מיד לאחר הפעלתו וכן להעביר עותק מעודכן בכל עת בו הספק מבצע שינוי כלשהו.</w:t>
      </w:r>
    </w:p>
    <w:p>
      <w:pPr>
        <w:widowControl w:val="0"/>
        <w:spacing w:line="300" w:lineRule="atLeast"/>
        <w:ind w:left="1984"/>
        <w:rPr>
          <w:position w:val="2"/>
          <w:sz w:val="22"/>
        </w:rPr>
      </w:pPr>
      <w:r>
        <w:rPr>
          <w:rFonts w:hint="cs"/>
          <w:position w:val="2"/>
          <w:sz w:val="22"/>
          <w:rtl/>
        </w:rPr>
        <w:lastRenderedPageBreak/>
        <w:t>בנוסף, יעביר הספק למשרד את כל המידע שנצבר במערכות שלו בכל הנוגע לפרוייקט זה וזאת בכל עת שיידרש לכך ע"י המשרד.</w:t>
      </w:r>
    </w:p>
    <w:p>
      <w:pPr>
        <w:widowControl w:val="0"/>
        <w:spacing w:line="300" w:lineRule="atLeast"/>
        <w:ind w:left="708"/>
        <w:rPr>
          <w:b/>
          <w:bCs/>
          <w:position w:val="2"/>
          <w:sz w:val="22"/>
          <w:rtl/>
        </w:rPr>
      </w:pPr>
    </w:p>
    <w:p>
      <w:pPr>
        <w:pStyle w:val="2"/>
        <w:keepNext w:val="0"/>
        <w:widowControl w:val="0"/>
        <w:numPr>
          <w:ilvl w:val="1"/>
          <w:numId w:val="9"/>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הספק.</w:t>
      </w:r>
    </w:p>
    <w:p>
      <w:pPr>
        <w:widowControl w:val="0"/>
        <w:numPr>
          <w:ilvl w:val="0"/>
          <w:numId w:val="9"/>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pPr>
        <w:widowControl w:val="0"/>
        <w:spacing w:line="300" w:lineRule="atLeast"/>
        <w:rPr>
          <w:sz w:val="20"/>
          <w:szCs w:val="20"/>
          <w:rtl/>
          <w:lang w:eastAsia="en-US"/>
        </w:rPr>
      </w:pPr>
    </w:p>
    <w:p>
      <w:pPr>
        <w:widowControl w:val="0"/>
        <w:numPr>
          <w:ilvl w:val="1"/>
          <w:numId w:val="9"/>
        </w:numPr>
        <w:spacing w:line="300" w:lineRule="atLeast"/>
        <w:textAlignment w:val="auto"/>
        <w:rPr>
          <w:lang w:eastAsia="en-US"/>
        </w:rPr>
      </w:pPr>
      <w:r>
        <w:rPr>
          <w:rFonts w:hint="cs"/>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pPr>
        <w:widowControl w:val="0"/>
        <w:spacing w:line="300" w:lineRule="atLeast"/>
        <w:rPr>
          <w:sz w:val="20"/>
          <w:szCs w:val="20"/>
          <w:lang w:eastAsia="en-US"/>
        </w:rPr>
      </w:pPr>
    </w:p>
    <w:p>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pPr>
        <w:widowControl w:val="0"/>
        <w:spacing w:line="300" w:lineRule="atLeast"/>
        <w:ind w:left="1418"/>
        <w:textAlignment w:val="auto"/>
        <w:rPr>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812"/>
        <w:gridCol w:w="1985"/>
      </w:tblGrid>
      <w:tr>
        <w:trPr>
          <w:cantSplit/>
        </w:trPr>
        <w:tc>
          <w:tcPr>
            <w:tcW w:w="6345" w:type="dxa"/>
            <w:gridSpan w:val="2"/>
            <w:tcBorders>
              <w:top w:val="single" w:sz="18" w:space="0" w:color="auto"/>
              <w:left w:val="single" w:sz="18" w:space="0" w:color="auto"/>
              <w:bottom w:val="single" w:sz="18" w:space="0" w:color="auto"/>
              <w:right w:val="single" w:sz="4" w:space="0" w:color="auto"/>
            </w:tcBorders>
            <w:shd w:val="pct5" w:color="auto" w:fill="auto"/>
          </w:tcPr>
          <w:p>
            <w:pPr>
              <w:spacing w:line="280" w:lineRule="atLeast"/>
              <w:jc w:val="center"/>
              <w:rPr>
                <w:b/>
                <w:bCs/>
                <w:lang w:eastAsia="en-US"/>
              </w:rPr>
            </w:pPr>
            <w:r>
              <w:rPr>
                <w:rFonts w:hint="cs"/>
                <w:b/>
                <w:bCs/>
                <w:rtl/>
                <w:lang w:eastAsia="en-US"/>
              </w:rPr>
              <w:t>אירוע</w:t>
            </w:r>
          </w:p>
        </w:tc>
        <w:tc>
          <w:tcPr>
            <w:tcW w:w="1985" w:type="dxa"/>
            <w:tcBorders>
              <w:top w:val="single" w:sz="18" w:space="0" w:color="auto"/>
              <w:left w:val="single" w:sz="4" w:space="0" w:color="auto"/>
              <w:bottom w:val="single" w:sz="18" w:space="0" w:color="auto"/>
              <w:right w:val="single" w:sz="18" w:space="0" w:color="auto"/>
            </w:tcBorders>
            <w:shd w:val="pct5" w:color="auto" w:fill="auto"/>
          </w:tcPr>
          <w:p>
            <w:pPr>
              <w:tabs>
                <w:tab w:val="left" w:pos="239"/>
                <w:tab w:val="center" w:pos="884"/>
              </w:tabs>
              <w:spacing w:line="280" w:lineRule="atLeast"/>
              <w:jc w:val="left"/>
              <w:rPr>
                <w:b/>
                <w:bCs/>
                <w:lang w:eastAsia="en-US"/>
              </w:rPr>
            </w:pPr>
            <w:r>
              <w:rPr>
                <w:b/>
                <w:bCs/>
                <w:rtl/>
                <w:lang w:eastAsia="en-US"/>
              </w:rPr>
              <w:tab/>
            </w:r>
            <w:r>
              <w:rPr>
                <w:rFonts w:hint="cs"/>
                <w:b/>
                <w:bCs/>
                <w:rtl/>
                <w:lang w:eastAsia="en-US"/>
              </w:rPr>
              <w:t>סכום הפיצוי המוסכם, כולל מע"מ</w:t>
            </w:r>
          </w:p>
        </w:tc>
      </w:tr>
      <w:tr>
        <w:trPr>
          <w:trHeight w:val="561"/>
        </w:trPr>
        <w:tc>
          <w:tcPr>
            <w:tcW w:w="533" w:type="dxa"/>
            <w:tcBorders>
              <w:top w:val="single" w:sz="18" w:space="0" w:color="auto"/>
              <w:left w:val="single" w:sz="18" w:space="0" w:color="auto"/>
              <w:bottom w:val="single" w:sz="4" w:space="0" w:color="auto"/>
              <w:right w:val="single" w:sz="4" w:space="0" w:color="auto"/>
            </w:tcBorders>
            <w:vAlign w:val="center"/>
          </w:tcPr>
          <w:p>
            <w:pPr>
              <w:pStyle w:val="af3"/>
              <w:spacing w:line="280" w:lineRule="atLeast"/>
              <w:jc w:val="left"/>
              <w:rPr>
                <w:b/>
                <w:bCs/>
                <w:rtl/>
              </w:rPr>
            </w:pPr>
            <w:r>
              <w:rPr>
                <w:rFonts w:hint="cs"/>
                <w:b/>
                <w:bCs/>
                <w:rtl/>
              </w:rPr>
              <w:t>1.</w:t>
            </w:r>
          </w:p>
        </w:tc>
        <w:tc>
          <w:tcPr>
            <w:tcW w:w="5812" w:type="dxa"/>
            <w:tcBorders>
              <w:top w:val="single" w:sz="18" w:space="0" w:color="auto"/>
              <w:left w:val="single" w:sz="4" w:space="0" w:color="auto"/>
              <w:bottom w:val="single" w:sz="4" w:space="0" w:color="auto"/>
              <w:right w:val="single" w:sz="4" w:space="0" w:color="auto"/>
            </w:tcBorders>
            <w:vAlign w:val="center"/>
          </w:tcPr>
          <w:p>
            <w:pPr>
              <w:spacing w:line="280" w:lineRule="atLeast"/>
              <w:jc w:val="left"/>
              <w:rPr>
                <w:lang w:eastAsia="en-US"/>
              </w:rPr>
            </w:pPr>
            <w:r>
              <w:rPr>
                <w:rFonts w:hint="cs"/>
                <w:rtl/>
                <w:lang w:eastAsia="en-US"/>
              </w:rPr>
              <w:t>ביטול פעילות במסגרת ימי לימוד אקדמיים /מפגשים מדעיים ללא התראה מוקדמת של 72 שעות לפני הפעילות לפחות</w:t>
            </w:r>
          </w:p>
        </w:tc>
        <w:tc>
          <w:tcPr>
            <w:tcW w:w="1985" w:type="dxa"/>
            <w:tcBorders>
              <w:top w:val="single" w:sz="18" w:space="0" w:color="auto"/>
              <w:left w:val="single" w:sz="4" w:space="0" w:color="auto"/>
              <w:bottom w:val="single" w:sz="4" w:space="0" w:color="auto"/>
              <w:right w:val="single" w:sz="18" w:space="0" w:color="auto"/>
            </w:tcBorders>
            <w:vAlign w:val="center"/>
          </w:tcPr>
          <w:p>
            <w:pPr>
              <w:spacing w:line="280" w:lineRule="atLeast"/>
              <w:ind w:left="34"/>
              <w:jc w:val="center"/>
              <w:rPr>
                <w:lang w:eastAsia="en-US"/>
              </w:rPr>
            </w:pPr>
            <w:r>
              <w:rPr>
                <w:rFonts w:hint="cs"/>
                <w:b/>
                <w:bCs/>
                <w:rtl/>
                <w:lang w:eastAsia="en-US"/>
              </w:rPr>
              <w:t>2,500</w:t>
            </w:r>
            <w:r>
              <w:rPr>
                <w:rFonts w:hint="cs"/>
                <w:rtl/>
                <w:lang w:eastAsia="en-US"/>
              </w:rPr>
              <w:t xml:space="preserve"> ₪ למקרה</w:t>
            </w:r>
          </w:p>
        </w:tc>
      </w:tr>
      <w:tr>
        <w:trPr>
          <w:trHeight w:val="562"/>
        </w:trPr>
        <w:tc>
          <w:tcPr>
            <w:tcW w:w="533" w:type="dxa"/>
            <w:tcBorders>
              <w:top w:val="single" w:sz="4" w:space="0" w:color="auto"/>
              <w:left w:val="single" w:sz="18" w:space="0" w:color="auto"/>
              <w:bottom w:val="single" w:sz="4" w:space="0" w:color="auto"/>
              <w:right w:val="single" w:sz="4" w:space="0" w:color="auto"/>
            </w:tcBorders>
            <w:vAlign w:val="center"/>
          </w:tcPr>
          <w:p>
            <w:pPr>
              <w:pStyle w:val="af3"/>
              <w:spacing w:line="280" w:lineRule="atLeast"/>
              <w:jc w:val="left"/>
              <w:rPr>
                <w:b/>
                <w:bCs/>
                <w:rtl/>
              </w:rPr>
            </w:pPr>
            <w:r>
              <w:rPr>
                <w:rFonts w:hint="cs"/>
                <w:b/>
                <w:bCs/>
                <w:rtl/>
              </w:rPr>
              <w:t>2.</w:t>
            </w:r>
          </w:p>
        </w:tc>
        <w:tc>
          <w:tcPr>
            <w:tcW w:w="5812" w:type="dxa"/>
            <w:tcBorders>
              <w:top w:val="single" w:sz="4" w:space="0" w:color="auto"/>
              <w:left w:val="single" w:sz="4" w:space="0" w:color="auto"/>
              <w:bottom w:val="single" w:sz="4" w:space="0" w:color="auto"/>
              <w:right w:val="single" w:sz="4" w:space="0" w:color="auto"/>
            </w:tcBorders>
            <w:vAlign w:val="center"/>
          </w:tcPr>
          <w:p>
            <w:pPr>
              <w:spacing w:line="280" w:lineRule="atLeast"/>
              <w:jc w:val="left"/>
              <w:rPr>
                <w:lang w:eastAsia="en-US"/>
              </w:rPr>
            </w:pPr>
            <w:r>
              <w:rPr>
                <w:rFonts w:hint="cs"/>
                <w:rtl/>
                <w:lang w:eastAsia="en-US"/>
              </w:rPr>
              <w:t>ביטול קורס מדעי / סמינר אקדמי מחקרי</w:t>
            </w:r>
          </w:p>
        </w:tc>
        <w:tc>
          <w:tcPr>
            <w:tcW w:w="1985" w:type="dxa"/>
            <w:tcBorders>
              <w:top w:val="single" w:sz="4" w:space="0" w:color="auto"/>
              <w:left w:val="single" w:sz="4" w:space="0" w:color="auto"/>
              <w:bottom w:val="single" w:sz="4" w:space="0" w:color="auto"/>
              <w:right w:val="single" w:sz="18" w:space="0" w:color="auto"/>
            </w:tcBorders>
            <w:vAlign w:val="center"/>
          </w:tcPr>
          <w:p>
            <w:pPr>
              <w:spacing w:line="280" w:lineRule="atLeast"/>
              <w:ind w:left="34"/>
              <w:jc w:val="center"/>
              <w:rPr>
                <w:lang w:eastAsia="en-US"/>
              </w:rPr>
            </w:pPr>
            <w:r>
              <w:rPr>
                <w:rFonts w:hint="cs"/>
                <w:b/>
                <w:bCs/>
                <w:rtl/>
                <w:lang w:eastAsia="en-US"/>
              </w:rPr>
              <w:t>4,000</w:t>
            </w:r>
            <w:r>
              <w:rPr>
                <w:rFonts w:hint="cs"/>
                <w:rtl/>
                <w:lang w:eastAsia="en-US"/>
              </w:rPr>
              <w:t xml:space="preserve"> ₪ למקרה</w:t>
            </w:r>
          </w:p>
        </w:tc>
      </w:tr>
      <w:tr>
        <w:trPr>
          <w:trHeight w:val="561"/>
        </w:trPr>
        <w:tc>
          <w:tcPr>
            <w:tcW w:w="533" w:type="dxa"/>
            <w:tcBorders>
              <w:top w:val="single" w:sz="4" w:space="0" w:color="auto"/>
              <w:left w:val="single" w:sz="18" w:space="0" w:color="auto"/>
              <w:bottom w:val="single" w:sz="4" w:space="0" w:color="auto"/>
              <w:right w:val="single" w:sz="4" w:space="0" w:color="auto"/>
            </w:tcBorders>
            <w:vAlign w:val="center"/>
          </w:tcPr>
          <w:p>
            <w:pPr>
              <w:pStyle w:val="af3"/>
              <w:spacing w:line="280" w:lineRule="atLeast"/>
              <w:jc w:val="left"/>
              <w:rPr>
                <w:b/>
                <w:bCs/>
                <w:rtl/>
              </w:rPr>
            </w:pPr>
            <w:r>
              <w:rPr>
                <w:rFonts w:hint="cs"/>
                <w:b/>
                <w:bCs/>
                <w:rtl/>
              </w:rPr>
              <w:t>3.</w:t>
            </w:r>
          </w:p>
        </w:tc>
        <w:tc>
          <w:tcPr>
            <w:tcW w:w="5812" w:type="dxa"/>
            <w:tcBorders>
              <w:top w:val="single" w:sz="4" w:space="0" w:color="auto"/>
              <w:left w:val="single" w:sz="4" w:space="0" w:color="auto"/>
              <w:bottom w:val="single" w:sz="4" w:space="0" w:color="auto"/>
              <w:right w:val="single" w:sz="4" w:space="0" w:color="auto"/>
            </w:tcBorders>
            <w:vAlign w:val="center"/>
          </w:tcPr>
          <w:p>
            <w:pPr>
              <w:spacing w:line="280" w:lineRule="atLeast"/>
              <w:jc w:val="left"/>
              <w:rPr>
                <w:lang w:eastAsia="en-US"/>
              </w:rPr>
            </w:pPr>
            <w:r>
              <w:rPr>
                <w:rFonts w:hint="cs"/>
                <w:rtl/>
                <w:lang w:eastAsia="en-US"/>
              </w:rPr>
              <w:t>אי העמדת כ"א תואם את דרישת המכרז</w:t>
            </w:r>
          </w:p>
        </w:tc>
        <w:tc>
          <w:tcPr>
            <w:tcW w:w="1985" w:type="dxa"/>
            <w:tcBorders>
              <w:top w:val="single" w:sz="4" w:space="0" w:color="auto"/>
              <w:left w:val="single" w:sz="4" w:space="0" w:color="auto"/>
              <w:bottom w:val="single" w:sz="4" w:space="0" w:color="auto"/>
              <w:right w:val="single" w:sz="18" w:space="0" w:color="auto"/>
            </w:tcBorders>
            <w:vAlign w:val="center"/>
          </w:tcPr>
          <w:p>
            <w:pPr>
              <w:spacing w:line="280" w:lineRule="atLeast"/>
              <w:ind w:left="34"/>
              <w:jc w:val="center"/>
              <w:rPr>
                <w:lang w:eastAsia="en-US"/>
              </w:rPr>
            </w:pPr>
            <w:r>
              <w:rPr>
                <w:rFonts w:hint="cs"/>
                <w:b/>
                <w:bCs/>
                <w:rtl/>
                <w:lang w:eastAsia="en-US"/>
              </w:rPr>
              <w:t>2,000</w:t>
            </w:r>
            <w:r>
              <w:rPr>
                <w:rFonts w:hint="cs"/>
                <w:rtl/>
                <w:lang w:eastAsia="en-US"/>
              </w:rPr>
              <w:t xml:space="preserve"> ₪ למקרה</w:t>
            </w:r>
          </w:p>
        </w:tc>
      </w:tr>
      <w:tr>
        <w:trPr>
          <w:trHeight w:val="562"/>
        </w:trPr>
        <w:tc>
          <w:tcPr>
            <w:tcW w:w="533" w:type="dxa"/>
            <w:tcBorders>
              <w:top w:val="single" w:sz="4" w:space="0" w:color="auto"/>
              <w:left w:val="single" w:sz="18" w:space="0" w:color="auto"/>
              <w:bottom w:val="single" w:sz="18" w:space="0" w:color="auto"/>
              <w:right w:val="single" w:sz="4" w:space="0" w:color="auto"/>
            </w:tcBorders>
            <w:vAlign w:val="center"/>
          </w:tcPr>
          <w:p>
            <w:pPr>
              <w:pStyle w:val="af3"/>
              <w:spacing w:line="280" w:lineRule="atLeast"/>
              <w:jc w:val="left"/>
              <w:rPr>
                <w:b/>
                <w:bCs/>
                <w:rtl/>
              </w:rPr>
            </w:pPr>
            <w:r>
              <w:rPr>
                <w:rFonts w:hint="cs"/>
                <w:b/>
                <w:bCs/>
                <w:rtl/>
              </w:rPr>
              <w:t>4.</w:t>
            </w:r>
          </w:p>
        </w:tc>
        <w:tc>
          <w:tcPr>
            <w:tcW w:w="5812" w:type="dxa"/>
            <w:tcBorders>
              <w:top w:val="single" w:sz="4" w:space="0" w:color="auto"/>
              <w:left w:val="single" w:sz="4" w:space="0" w:color="auto"/>
              <w:bottom w:val="single" w:sz="18" w:space="0" w:color="auto"/>
              <w:right w:val="single" w:sz="4" w:space="0" w:color="auto"/>
            </w:tcBorders>
            <w:vAlign w:val="center"/>
          </w:tcPr>
          <w:p>
            <w:pPr>
              <w:spacing w:line="280" w:lineRule="atLeast"/>
              <w:jc w:val="left"/>
              <w:rPr>
                <w:rtl/>
                <w:lang w:eastAsia="en-US"/>
              </w:rPr>
            </w:pPr>
            <w:r>
              <w:rPr>
                <w:rFonts w:hint="cs"/>
                <w:rtl/>
                <w:lang w:eastAsia="en-US"/>
              </w:rPr>
              <w:t>גביית תשלום מבית הספר המתארח או מההורים או מהתלמידים בגין פעילות המתוקצבת במסגרת מכרז זה</w:t>
            </w:r>
          </w:p>
        </w:tc>
        <w:tc>
          <w:tcPr>
            <w:tcW w:w="1985" w:type="dxa"/>
            <w:tcBorders>
              <w:top w:val="single" w:sz="4" w:space="0" w:color="auto"/>
              <w:left w:val="single" w:sz="4" w:space="0" w:color="auto"/>
              <w:bottom w:val="single" w:sz="18" w:space="0" w:color="auto"/>
              <w:right w:val="single" w:sz="18" w:space="0" w:color="auto"/>
            </w:tcBorders>
            <w:vAlign w:val="center"/>
          </w:tcPr>
          <w:p>
            <w:pPr>
              <w:spacing w:line="280" w:lineRule="atLeast"/>
              <w:ind w:left="34"/>
              <w:jc w:val="center"/>
              <w:rPr>
                <w:b/>
                <w:bCs/>
                <w:rtl/>
                <w:lang w:eastAsia="en-US"/>
              </w:rPr>
            </w:pPr>
            <w:r>
              <w:rPr>
                <w:rFonts w:hint="cs"/>
                <w:b/>
                <w:bCs/>
                <w:rtl/>
                <w:lang w:eastAsia="en-US"/>
              </w:rPr>
              <w:t xml:space="preserve">10,000 ₪ </w:t>
            </w:r>
            <w:r>
              <w:rPr>
                <w:rFonts w:hint="cs"/>
                <w:rtl/>
                <w:lang w:eastAsia="en-US"/>
              </w:rPr>
              <w:t>למקרה</w:t>
            </w:r>
          </w:p>
        </w:tc>
      </w:tr>
    </w:tbl>
    <w:p>
      <w:pPr>
        <w:widowControl w:val="0"/>
        <w:spacing w:line="300" w:lineRule="atLeast"/>
        <w:rPr>
          <w:sz w:val="20"/>
          <w:szCs w:val="20"/>
          <w:rtl/>
          <w:lang w:eastAsia="en-US"/>
        </w:rPr>
      </w:pPr>
    </w:p>
    <w:p>
      <w:pPr>
        <w:widowControl w:val="0"/>
        <w:spacing w:line="300" w:lineRule="atLeast"/>
        <w:ind w:left="1418"/>
        <w:textAlignment w:val="auto"/>
        <w:rPr>
          <w:lang w:eastAsia="en-US"/>
        </w:rPr>
      </w:pPr>
    </w:p>
    <w:p>
      <w:pPr>
        <w:widowControl w:val="0"/>
        <w:numPr>
          <w:ilvl w:val="1"/>
          <w:numId w:val="9"/>
        </w:numPr>
        <w:spacing w:line="280" w:lineRule="atLeast"/>
        <w:textAlignment w:val="auto"/>
        <w:rPr>
          <w:rFonts w:ascii="David" w:hAnsi="David"/>
        </w:rPr>
      </w:pPr>
      <w:r>
        <w:rPr>
          <w:rFonts w:ascii="David" w:hAnsi="David" w:hint="cs"/>
          <w:rtl/>
        </w:rPr>
        <w:t xml:space="preserve">מבלי לגרוע מהאמור לעיל, </w:t>
      </w:r>
      <w:r>
        <w:rPr>
          <w:rFonts w:ascii="David" w:hAnsi="David"/>
          <w:rtl/>
        </w:rPr>
        <w:t>ביטול פעילות שתואמה, על ידי בית הספר, בהודעה רשמית של מנהל בית הספר / רכז מסלול המחוננים למוסד האקדמי</w:t>
      </w:r>
      <w:r>
        <w:rPr>
          <w:rFonts w:ascii="David" w:hAnsi="David" w:hint="cs"/>
          <w:rtl/>
        </w:rPr>
        <w:t>:</w:t>
      </w:r>
    </w:p>
    <w:p>
      <w:pPr>
        <w:widowControl w:val="0"/>
        <w:numPr>
          <w:ilvl w:val="3"/>
          <w:numId w:val="9"/>
        </w:numPr>
        <w:spacing w:line="280" w:lineRule="atLeast"/>
        <w:textAlignment w:val="auto"/>
        <w:rPr>
          <w:rFonts w:ascii="David" w:hAnsi="David"/>
        </w:rPr>
      </w:pPr>
      <w:r>
        <w:rPr>
          <w:rFonts w:ascii="David" w:hAnsi="David"/>
          <w:rtl/>
        </w:rPr>
        <w:t xml:space="preserve">  עד שבוע לפני </w:t>
      </w:r>
      <w:r>
        <w:rPr>
          <w:rFonts w:ascii="David" w:hAnsi="David" w:hint="cs"/>
          <w:rtl/>
        </w:rPr>
        <w:t xml:space="preserve">מועד ביצוע </w:t>
      </w:r>
      <w:r>
        <w:rPr>
          <w:rFonts w:ascii="David" w:hAnsi="David"/>
          <w:rtl/>
        </w:rPr>
        <w:t xml:space="preserve">הפעילות לא תזכה את הספק בפיצוי כלשהו. </w:t>
      </w:r>
    </w:p>
    <w:p>
      <w:pPr>
        <w:widowControl w:val="0"/>
        <w:numPr>
          <w:ilvl w:val="3"/>
          <w:numId w:val="9"/>
        </w:numPr>
        <w:spacing w:line="280" w:lineRule="atLeast"/>
        <w:textAlignment w:val="auto"/>
        <w:rPr>
          <w:rFonts w:ascii="David" w:hAnsi="David"/>
        </w:rPr>
      </w:pPr>
      <w:r>
        <w:rPr>
          <w:rFonts w:ascii="David" w:hAnsi="David"/>
          <w:rtl/>
        </w:rPr>
        <w:t xml:space="preserve">עד 72 שעות לפני תחילת הפעילות תזכה את הספק בחצי מעלות </w:t>
      </w:r>
      <w:r>
        <w:rPr>
          <w:rFonts w:ascii="David" w:hAnsi="David" w:hint="cs"/>
          <w:rtl/>
        </w:rPr>
        <w:t>הפעילות המתוכננת</w:t>
      </w:r>
      <w:r>
        <w:rPr>
          <w:rFonts w:ascii="David" w:hAnsi="David"/>
          <w:rtl/>
        </w:rPr>
        <w:t xml:space="preserve">. </w:t>
      </w:r>
    </w:p>
    <w:p>
      <w:pPr>
        <w:widowControl w:val="0"/>
        <w:numPr>
          <w:ilvl w:val="3"/>
          <w:numId w:val="9"/>
        </w:numPr>
        <w:spacing w:line="280" w:lineRule="atLeast"/>
        <w:textAlignment w:val="auto"/>
        <w:rPr>
          <w:rFonts w:ascii="David" w:hAnsi="David"/>
        </w:rPr>
      </w:pPr>
      <w:r>
        <w:rPr>
          <w:rFonts w:ascii="David" w:hAnsi="David"/>
          <w:rtl/>
        </w:rPr>
        <w:t xml:space="preserve">פחות מ 72 שעות או ללא הודעה כלל, תזכה את </w:t>
      </w:r>
      <w:r>
        <w:rPr>
          <w:rFonts w:ascii="David" w:hAnsi="David" w:hint="cs"/>
          <w:rtl/>
        </w:rPr>
        <w:t>הספק</w:t>
      </w:r>
      <w:r>
        <w:rPr>
          <w:rFonts w:ascii="David" w:hAnsi="David"/>
          <w:rtl/>
        </w:rPr>
        <w:t xml:space="preserve"> בפיצוי מלא </w:t>
      </w:r>
      <w:r>
        <w:rPr>
          <w:rFonts w:ascii="David" w:hAnsi="David" w:hint="cs"/>
          <w:rtl/>
        </w:rPr>
        <w:t>בגין</w:t>
      </w:r>
      <w:r>
        <w:rPr>
          <w:rFonts w:ascii="David" w:hAnsi="David"/>
          <w:rtl/>
        </w:rPr>
        <w:t xml:space="preserve"> עלות </w:t>
      </w:r>
      <w:r>
        <w:rPr>
          <w:rFonts w:ascii="David" w:hAnsi="David" w:hint="cs"/>
          <w:rtl/>
        </w:rPr>
        <w:t>הפעילות המתכוננת</w:t>
      </w:r>
      <w:r>
        <w:rPr>
          <w:rFonts w:ascii="David" w:hAnsi="David"/>
          <w:rtl/>
        </w:rPr>
        <w:t>.</w:t>
      </w:r>
    </w:p>
    <w:p>
      <w:pPr>
        <w:widowControl w:val="0"/>
        <w:numPr>
          <w:ilvl w:val="3"/>
          <w:numId w:val="9"/>
        </w:numPr>
        <w:spacing w:line="280" w:lineRule="atLeast"/>
        <w:textAlignment w:val="auto"/>
        <w:rPr>
          <w:rFonts w:ascii="David" w:hAnsi="David"/>
          <w:rtl/>
        </w:rPr>
      </w:pPr>
      <w:r>
        <w:rPr>
          <w:rFonts w:ascii="David" w:hAnsi="David" w:hint="cs"/>
          <w:rtl/>
        </w:rPr>
        <w:t>במקרים חריגים ובאישור האגף מראש, הפעילות תתבצע באופן מקוון.</w:t>
      </w:r>
    </w:p>
    <w:p>
      <w:pPr>
        <w:widowControl w:val="0"/>
        <w:spacing w:line="280" w:lineRule="atLeast"/>
        <w:ind w:left="1418"/>
        <w:textAlignment w:val="auto"/>
        <w:rPr>
          <w:rFonts w:ascii="David" w:hAnsi="David"/>
          <w:rtl/>
        </w:rPr>
      </w:pPr>
      <w:r>
        <w:rPr>
          <w:rFonts w:ascii="David" w:hAnsi="David"/>
          <w:rtl/>
        </w:rPr>
        <w:t xml:space="preserve"> </w:t>
      </w:r>
    </w:p>
    <w:p>
      <w:pPr>
        <w:widowControl w:val="0"/>
        <w:spacing w:line="280" w:lineRule="atLeast"/>
        <w:ind w:left="1418"/>
        <w:textAlignment w:val="auto"/>
        <w:rPr>
          <w:rFonts w:ascii="David" w:hAnsi="David"/>
          <w:b/>
          <w:bCs/>
          <w:rtl/>
        </w:rPr>
      </w:pPr>
      <w:r>
        <w:rPr>
          <w:rFonts w:ascii="David" w:hAnsi="David"/>
          <w:b/>
          <w:bCs/>
          <w:rtl/>
        </w:rPr>
        <w:t>בכל מקרה של ביטול על הספק להציע את יום הפעילות לניצול על ידי כיתות אחרות וכן להוציא דו"ח רבעוני לאגף למחוננים ולמצטיינים על מקרים מסוג זה והפעולות שנעשו לפני / אחרי האירוע.</w:t>
      </w:r>
    </w:p>
    <w:p>
      <w:pPr>
        <w:widowControl w:val="0"/>
        <w:spacing w:line="280" w:lineRule="atLeast"/>
        <w:ind w:left="1418"/>
        <w:textAlignment w:val="auto"/>
        <w:rPr>
          <w:rFonts w:ascii="David" w:hAnsi="David"/>
          <w:color w:val="1F497D"/>
          <w:sz w:val="22"/>
          <w:szCs w:val="22"/>
          <w:lang w:eastAsia="en-US"/>
        </w:rPr>
      </w:pPr>
    </w:p>
    <w:p>
      <w:pPr>
        <w:widowControl w:val="0"/>
        <w:numPr>
          <w:ilvl w:val="1"/>
          <w:numId w:val="9"/>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והספק יהיה מחויב בתשלום פיצוי מוסכם. אין באמור בכדי לגרוע מכל סעד אחר לו זכאי המשרד לפי מכרז זה ולפי הוראות כל דין.</w:t>
      </w:r>
    </w:p>
    <w:p>
      <w:pPr>
        <w:widowControl w:val="0"/>
        <w:spacing w:line="300" w:lineRule="atLeast"/>
        <w:rPr>
          <w:b/>
          <w:bCs/>
          <w:sz w:val="28"/>
          <w:szCs w:val="28"/>
          <w:u w:val="single"/>
          <w:rtl/>
          <w:lang w:eastAsia="en-US"/>
        </w:rPr>
      </w:pPr>
    </w:p>
    <w:p>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לספק או לגבותם בכל דרך חוקית אחרת. </w:t>
      </w:r>
    </w:p>
    <w:p>
      <w:pPr>
        <w:widowControl w:val="0"/>
        <w:spacing w:line="300" w:lineRule="atLeast"/>
        <w:rPr>
          <w:rtl/>
        </w:rPr>
      </w:pPr>
    </w:p>
    <w:p>
      <w:pPr>
        <w:widowControl w:val="0"/>
        <w:numPr>
          <w:ilvl w:val="1"/>
          <w:numId w:val="9"/>
        </w:numPr>
        <w:spacing w:line="300" w:lineRule="atLeast"/>
        <w:textAlignment w:val="auto"/>
        <w:rPr>
          <w:rtl/>
        </w:rPr>
      </w:pPr>
      <w:r>
        <w:rPr>
          <w:rFonts w:hint="cs"/>
          <w:rtl/>
        </w:rPr>
        <w:t xml:space="preserve">תשלום הפיצויים או ניכויים מסכומים המגיעים לספק לא ישחררו את הספק מהתחייבויותיו על פי מסמכי המכרז. </w:t>
      </w:r>
    </w:p>
    <w:p>
      <w:pPr>
        <w:widowControl w:val="0"/>
        <w:spacing w:line="300" w:lineRule="atLeast"/>
        <w:rPr>
          <w:rtl/>
        </w:rPr>
      </w:pPr>
    </w:p>
    <w:p>
      <w:pPr>
        <w:widowControl w:val="0"/>
        <w:numPr>
          <w:ilvl w:val="1"/>
          <w:numId w:val="9"/>
        </w:numPr>
        <w:spacing w:line="300" w:lineRule="atLeast"/>
        <w:textAlignment w:val="auto"/>
        <w:rPr>
          <w:rtl/>
        </w:rPr>
      </w:pPr>
      <w:r>
        <w:rPr>
          <w:rFonts w:hint="cs"/>
          <w:rtl/>
        </w:rPr>
        <w:t>הספק אינו רשאי לגרוע סכום הפיצוי המוסכם משכר עובדיו.</w:t>
      </w:r>
    </w:p>
    <w:p>
      <w:pPr>
        <w:widowControl w:val="0"/>
        <w:spacing w:line="300" w:lineRule="atLeast"/>
        <w:ind w:left="709"/>
        <w:rPr>
          <w:rtl/>
        </w:rPr>
      </w:pPr>
    </w:p>
    <w:p>
      <w:pPr>
        <w:widowControl w:val="0"/>
        <w:numPr>
          <w:ilvl w:val="1"/>
          <w:numId w:val="9"/>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pPr>
        <w:pStyle w:val="aff2"/>
        <w:widowControl w:val="0"/>
        <w:numPr>
          <w:ilvl w:val="0"/>
          <w:numId w:val="9"/>
        </w:numPr>
        <w:spacing w:line="300" w:lineRule="atLeast"/>
        <w:rPr>
          <w:b/>
          <w:bCs/>
          <w:sz w:val="28"/>
          <w:szCs w:val="28"/>
          <w:u w:val="single"/>
        </w:rPr>
      </w:pPr>
      <w:r>
        <w:rPr>
          <w:rtl/>
        </w:rPr>
        <w:br w:type="page"/>
      </w:r>
      <w:r>
        <w:rPr>
          <w:rFonts w:hint="cs"/>
          <w:b/>
          <w:bCs/>
          <w:sz w:val="28"/>
          <w:szCs w:val="28"/>
          <w:u w:val="single"/>
          <w:rtl/>
        </w:rPr>
        <w:lastRenderedPageBreak/>
        <w:t xml:space="preserve">חפיפה </w:t>
      </w:r>
    </w:p>
    <w:p>
      <w:pPr>
        <w:widowControl w:val="0"/>
        <w:spacing w:line="300" w:lineRule="atLeast"/>
        <w:ind w:left="720"/>
        <w:rPr>
          <w:rFonts w:ascii="Arial" w:hAnsi="Arial"/>
          <w:b/>
          <w:bCs/>
          <w:kern w:val="28"/>
          <w:sz w:val="28"/>
          <w:szCs w:val="28"/>
          <w:u w:val="single"/>
          <w:rtl/>
          <w:lang w:eastAsia="en-US"/>
        </w:rPr>
      </w:pPr>
    </w:p>
    <w:p>
      <w:pPr>
        <w:widowControl w:val="0"/>
        <w:spacing w:line="300" w:lineRule="atLeast"/>
        <w:ind w:left="720"/>
        <w:rPr>
          <w:rtl/>
          <w:lang w:eastAsia="en-US"/>
        </w:rPr>
      </w:pPr>
      <w:r>
        <w:rPr>
          <w:rFonts w:hint="cs"/>
          <w:rtl/>
          <w:lang w:eastAsia="en-US"/>
        </w:rPr>
        <w:t>הספק החדש שיבחר במסגרת מכרז זה יפעיל את כל הנדרש במקום הספק הנוכחי (אלא אם הספק הנוכחי יזכה במכרז).</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לצורך כך, יפעל הספק החדש לקבלה מסודרת ומאורגנת של כל המידע, האמצעים, הנהלים, התוכנות והתוכניות מהספק הנוכחי.</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 xml:space="preserve">על הספק החדש להתארגן ולארגן את כח האדם המקצועי כנדרש כאשר כל עובד יפעל מול העובד הקיים של הספק הנוכחי במשך </w:t>
      </w:r>
      <w:r>
        <w:rPr>
          <w:rFonts w:hint="cs"/>
          <w:b/>
          <w:bCs/>
          <w:u w:val="single"/>
          <w:rtl/>
          <w:lang w:eastAsia="en-US"/>
        </w:rPr>
        <w:t>שבועיים ימים</w:t>
      </w:r>
      <w:r>
        <w:rPr>
          <w:rFonts w:hint="cs"/>
          <w:rtl/>
          <w:lang w:eastAsia="en-US"/>
        </w:rPr>
        <w:t>.</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על הספק שיבחר להתארגן כך שבמועד חתימת החוזה הוא יפעיל בלעדית את התוכנית כולה.</w:t>
      </w:r>
    </w:p>
    <w:p>
      <w:pPr>
        <w:widowControl w:val="0"/>
        <w:spacing w:line="300" w:lineRule="atLeast"/>
        <w:ind w:left="720"/>
        <w:rPr>
          <w:rFonts w:ascii="Arial" w:hAnsi="Arial"/>
          <w:rtl/>
          <w:lang w:eastAsia="en-US"/>
        </w:rPr>
      </w:pPr>
    </w:p>
    <w:p>
      <w:pPr>
        <w:widowControl w:val="0"/>
        <w:spacing w:line="300" w:lineRule="atLeast"/>
        <w:ind w:left="720"/>
        <w:rPr>
          <w:lang w:eastAsia="en-US"/>
        </w:rPr>
      </w:pPr>
      <w:r>
        <w:rPr>
          <w:rFonts w:hint="cs"/>
          <w:rtl/>
          <w:lang w:eastAsia="en-US"/>
        </w:rPr>
        <w:t>על הספק המוסר לשתף</w:t>
      </w:r>
      <w:r>
        <w:rPr>
          <w:rtl/>
          <w:lang w:eastAsia="en-US"/>
        </w:rPr>
        <w:t xml:space="preserve"> פעולה באופן מלא עם המשרד ועם </w:t>
      </w:r>
      <w:r>
        <w:rPr>
          <w:rFonts w:hint="cs"/>
          <w:rtl/>
          <w:lang w:eastAsia="en-US"/>
        </w:rPr>
        <w:t>הספק החדש שיבחר</w:t>
      </w:r>
      <w:r>
        <w:rPr>
          <w:rtl/>
          <w:lang w:eastAsia="en-US"/>
        </w:rPr>
        <w:t>, כדי לאפשר את ההתארגנות, ההחלפה והמשכה התקין של הפעילות לאחר סיום ההתקשרות עמו.</w:t>
      </w:r>
    </w:p>
    <w:p>
      <w:pPr>
        <w:widowControl w:val="0"/>
        <w:spacing w:line="300" w:lineRule="atLeast"/>
        <w:ind w:left="720"/>
        <w:rPr>
          <w:rtl/>
          <w:lang w:eastAsia="en-US"/>
        </w:rPr>
      </w:pPr>
    </w:p>
    <w:p>
      <w:pPr>
        <w:widowControl w:val="0"/>
        <w:spacing w:line="300" w:lineRule="atLeast"/>
        <w:ind w:left="720"/>
        <w:rPr>
          <w:rFonts w:ascii="Arial" w:hAnsi="Arial"/>
          <w:rtl/>
          <w:lang w:eastAsia="en-US"/>
        </w:rPr>
      </w:pPr>
      <w:r>
        <w:rPr>
          <w:rFonts w:ascii="Arial" w:hAnsi="Arial" w:hint="cs"/>
          <w:rtl/>
          <w:lang w:eastAsia="en-US"/>
        </w:rPr>
        <w:t>הספק המוסר יקבל תמורה רק עבור תפוקות שבוצעו במהלך החפיפה, עפ"י כללי החוזה על פיו הוא קשור עם המשרד.</w:t>
      </w:r>
    </w:p>
    <w:p>
      <w:pPr>
        <w:widowControl w:val="0"/>
        <w:spacing w:line="300" w:lineRule="atLeast"/>
        <w:ind w:left="720"/>
        <w:rPr>
          <w:rFonts w:ascii="Arial" w:hAnsi="Arial"/>
          <w:rtl/>
          <w:lang w:eastAsia="en-US"/>
        </w:rPr>
      </w:pPr>
    </w:p>
    <w:p>
      <w:pPr>
        <w:widowControl w:val="0"/>
        <w:spacing w:line="300" w:lineRule="atLeast"/>
        <w:ind w:left="720"/>
        <w:rPr>
          <w:rFonts w:ascii="Arial" w:hAnsi="Arial"/>
          <w:rtl/>
          <w:lang w:eastAsia="en-US"/>
        </w:rPr>
      </w:pPr>
      <w:r>
        <w:rPr>
          <w:rFonts w:ascii="Arial" w:hAnsi="Arial" w:hint="cs"/>
          <w:rtl/>
          <w:lang w:eastAsia="en-US"/>
        </w:rPr>
        <w:t>הספק המוסר לא יקבל תמורה מיוחדת עבור ביצוע החפיפה.</w:t>
      </w:r>
    </w:p>
    <w:p>
      <w:pPr>
        <w:widowControl w:val="0"/>
        <w:spacing w:line="300" w:lineRule="atLeast"/>
        <w:ind w:left="720"/>
        <w:rPr>
          <w:rFonts w:ascii="Arial" w:hAnsi="Arial"/>
          <w:rtl/>
          <w:lang w:eastAsia="en-US"/>
        </w:rPr>
      </w:pPr>
    </w:p>
    <w:p>
      <w:pPr>
        <w:widowControl w:val="0"/>
        <w:spacing w:line="300" w:lineRule="atLeast"/>
        <w:ind w:left="720"/>
        <w:rPr>
          <w:rFonts w:ascii="Arial" w:hAnsi="Arial"/>
          <w:rtl/>
          <w:lang w:eastAsia="en-US"/>
        </w:rPr>
      </w:pPr>
      <w:r>
        <w:rPr>
          <w:rFonts w:ascii="Arial" w:hAnsi="Arial" w:hint="cs"/>
          <w:rtl/>
          <w:lang w:eastAsia="en-US"/>
        </w:rPr>
        <w:t>הספק החדש (המקבל) לא יקבל תמורה כלשהי בגין החפיפה.</w:t>
      </w:r>
    </w:p>
    <w:p>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pPr>
        <w:widowControl w:val="0"/>
        <w:spacing w:line="300" w:lineRule="atLeast"/>
        <w:ind w:left="720"/>
        <w:rPr>
          <w:rtl/>
          <w:lang w:eastAsia="en-US"/>
        </w:rPr>
      </w:pPr>
    </w:p>
    <w:p>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pPr>
        <w:widowControl w:val="0"/>
        <w:spacing w:line="300" w:lineRule="atLeast"/>
        <w:ind w:left="720"/>
        <w:rPr>
          <w:b/>
          <w:bCs/>
          <w:rtl/>
          <w:lang w:eastAsia="en-US"/>
        </w:rPr>
      </w:pPr>
    </w:p>
    <w:p>
      <w:pPr>
        <w:widowControl w:val="0"/>
        <w:numPr>
          <w:ilvl w:val="0"/>
          <w:numId w:val="8"/>
        </w:numPr>
        <w:spacing w:line="300" w:lineRule="atLeast"/>
        <w:ind w:right="0"/>
        <w:textAlignment w:val="auto"/>
      </w:pPr>
      <w:r>
        <w:rPr>
          <w:rFonts w:hint="eastAsia"/>
          <w:rtl/>
        </w:rPr>
        <w:t>מסירה</w:t>
      </w:r>
      <w:r>
        <w:rPr>
          <w:rtl/>
        </w:rPr>
        <w:t xml:space="preserve"> </w:t>
      </w:r>
      <w:r>
        <w:rPr>
          <w:rFonts w:hint="eastAsia"/>
          <w:rtl/>
        </w:rPr>
        <w:t>מאורגנת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המידע</w:t>
      </w:r>
      <w:r>
        <w:rPr>
          <w:rtl/>
        </w:rPr>
        <w:t xml:space="preserve"> </w:t>
      </w:r>
      <w:r>
        <w:rPr>
          <w:rFonts w:hint="eastAsia"/>
          <w:rtl/>
        </w:rPr>
        <w:t>והידע</w:t>
      </w:r>
      <w:r>
        <w:rPr>
          <w:rtl/>
        </w:rPr>
        <w:t xml:space="preserve"> </w:t>
      </w:r>
      <w:r>
        <w:rPr>
          <w:rFonts w:hint="eastAsia"/>
          <w:rtl/>
        </w:rPr>
        <w:t>שהצטברו</w:t>
      </w:r>
      <w:r>
        <w:rPr>
          <w:rtl/>
        </w:rPr>
        <w:t xml:space="preserve"> </w:t>
      </w:r>
      <w:r>
        <w:rPr>
          <w:rFonts w:hint="eastAsia"/>
          <w:rtl/>
        </w:rPr>
        <w:t>במהלך</w:t>
      </w:r>
      <w:r>
        <w:rPr>
          <w:rtl/>
        </w:rPr>
        <w:t xml:space="preserve"> </w:t>
      </w:r>
      <w:r>
        <w:rPr>
          <w:rFonts w:hint="eastAsia"/>
          <w:rtl/>
        </w:rPr>
        <w:t>הפעילות</w:t>
      </w:r>
      <w:r>
        <w:rPr>
          <w:rtl/>
        </w:rPr>
        <w:t xml:space="preserve"> </w:t>
      </w:r>
      <w:r>
        <w:rPr>
          <w:rFonts w:hint="eastAsia"/>
          <w:rtl/>
        </w:rPr>
        <w:t>ואת</w:t>
      </w:r>
      <w:r>
        <w:rPr>
          <w:rtl/>
        </w:rPr>
        <w:t xml:space="preserve"> </w:t>
      </w:r>
      <w:r>
        <w:rPr>
          <w:rFonts w:hint="eastAsia"/>
          <w:rtl/>
        </w:rPr>
        <w:t>כל</w:t>
      </w:r>
      <w:r>
        <w:rPr>
          <w:rtl/>
        </w:rPr>
        <w:t xml:space="preserve"> </w:t>
      </w:r>
      <w:r>
        <w:rPr>
          <w:rFonts w:hint="eastAsia"/>
          <w:rtl/>
        </w:rPr>
        <w:t>התוצרים</w:t>
      </w:r>
      <w:r>
        <w:rPr>
          <w:rtl/>
        </w:rPr>
        <w:t xml:space="preserve"> </w:t>
      </w:r>
      <w:r>
        <w:rPr>
          <w:rFonts w:hint="eastAsia"/>
          <w:rtl/>
        </w:rPr>
        <w:t>שנוצרו</w:t>
      </w:r>
      <w:r>
        <w:rPr>
          <w:rtl/>
        </w:rPr>
        <w:t xml:space="preserve"> </w:t>
      </w:r>
      <w:r>
        <w:rPr>
          <w:rFonts w:hint="eastAsia"/>
          <w:rtl/>
        </w:rPr>
        <w:t>במהלך</w:t>
      </w:r>
      <w:r>
        <w:rPr>
          <w:rtl/>
        </w:rPr>
        <w:t xml:space="preserve"> </w:t>
      </w:r>
      <w:r>
        <w:rPr>
          <w:rFonts w:hint="eastAsia"/>
          <w:rtl/>
        </w:rPr>
        <w:t>הפרויקט</w:t>
      </w:r>
      <w:r>
        <w:rPr>
          <w:rtl/>
        </w:rPr>
        <w:t xml:space="preserve">, </w:t>
      </w:r>
      <w:r>
        <w:rPr>
          <w:rFonts w:hint="eastAsia"/>
          <w:rtl/>
        </w:rPr>
        <w:t>כשהם</w:t>
      </w:r>
      <w:r>
        <w:rPr>
          <w:rtl/>
        </w:rPr>
        <w:t xml:space="preserve"> </w:t>
      </w:r>
      <w:r>
        <w:rPr>
          <w:rFonts w:hint="eastAsia"/>
          <w:rtl/>
        </w:rPr>
        <w:t>מעודכנים</w:t>
      </w:r>
      <w:r>
        <w:rPr>
          <w:rtl/>
        </w:rPr>
        <w:t xml:space="preserve"> </w:t>
      </w:r>
      <w:r>
        <w:rPr>
          <w:rFonts w:hint="eastAsia"/>
          <w:rtl/>
        </w:rPr>
        <w:t>ובפורמטים</w:t>
      </w:r>
      <w:r>
        <w:rPr>
          <w:rtl/>
        </w:rPr>
        <w:t xml:space="preserve"> </w:t>
      </w:r>
      <w:r>
        <w:rPr>
          <w:rFonts w:hint="eastAsia"/>
          <w:rtl/>
        </w:rPr>
        <w:t>שהוגדרו</w:t>
      </w:r>
      <w:r>
        <w:rPr>
          <w:rtl/>
        </w:rPr>
        <w:t xml:space="preserve"> </w:t>
      </w:r>
      <w:r>
        <w:rPr>
          <w:rFonts w:hint="eastAsia"/>
          <w:rtl/>
        </w:rPr>
        <w:t>ואושרו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המשרד</w:t>
      </w:r>
      <w:r>
        <w:rPr>
          <w:rtl/>
        </w:rPr>
        <w:t>.</w:t>
      </w:r>
    </w:p>
    <w:p>
      <w:pPr>
        <w:widowControl w:val="0"/>
        <w:spacing w:line="300" w:lineRule="atLeast"/>
        <w:ind w:left="1134"/>
        <w:textAlignment w:val="auto"/>
      </w:pPr>
    </w:p>
    <w:p>
      <w:pPr>
        <w:widowControl w:val="0"/>
        <w:numPr>
          <w:ilvl w:val="0"/>
          <w:numId w:val="8"/>
        </w:numPr>
        <w:spacing w:line="300" w:lineRule="atLeast"/>
        <w:ind w:right="0"/>
        <w:textAlignment w:val="auto"/>
        <w:rPr>
          <w:rtl/>
          <w:lang w:eastAsia="en-US"/>
        </w:rPr>
      </w:pPr>
      <w:r>
        <w:rPr>
          <w:rFonts w:hint="eastAsia"/>
          <w:rtl/>
          <w:lang w:eastAsia="en-US"/>
        </w:rPr>
        <w:t>מסירה</w:t>
      </w:r>
      <w:r>
        <w:rPr>
          <w:rtl/>
          <w:lang w:eastAsia="en-US"/>
        </w:rPr>
        <w:t xml:space="preserve"> מאורגנת של התוכנה, כולל ספרי תיעוד, מדריכים למשתמש לתוכנה הבסיסית ולכל השינויים שהמוסר ביצע במהלך ההתקשרות איתו. </w:t>
      </w:r>
    </w:p>
    <w:p>
      <w:pPr>
        <w:widowControl w:val="0"/>
        <w:tabs>
          <w:tab w:val="num" w:pos="1275"/>
        </w:tabs>
        <w:spacing w:line="300" w:lineRule="atLeast"/>
        <w:ind w:left="1275" w:hanging="567"/>
        <w:rPr>
          <w:rtl/>
          <w:lang w:eastAsia="en-US"/>
        </w:rPr>
      </w:pPr>
    </w:p>
    <w:p>
      <w:pPr>
        <w:widowControl w:val="0"/>
        <w:numPr>
          <w:ilvl w:val="0"/>
          <w:numId w:val="8"/>
        </w:numPr>
        <w:spacing w:line="300" w:lineRule="atLeast"/>
        <w:ind w:right="0"/>
        <w:textAlignment w:val="auto"/>
        <w:rPr>
          <w:lang w:eastAsia="en-US"/>
        </w:rPr>
      </w:pPr>
      <w:r>
        <w:rPr>
          <w:rFonts w:hint="eastAsia"/>
          <w:rtl/>
          <w:lang w:eastAsia="en-US"/>
        </w:rPr>
        <w:t>מסירה</w:t>
      </w:r>
      <w:r>
        <w:rPr>
          <w:rtl/>
          <w:lang w:eastAsia="en-US"/>
        </w:rPr>
        <w:t xml:space="preserve"> </w:t>
      </w:r>
      <w:r>
        <w:rPr>
          <w:rFonts w:hint="eastAsia"/>
          <w:rtl/>
          <w:lang w:eastAsia="en-US"/>
        </w:rPr>
        <w:t>מאורגנת</w:t>
      </w:r>
      <w:r>
        <w:rPr>
          <w:rtl/>
          <w:lang w:eastAsia="en-US"/>
        </w:rPr>
        <w:t xml:space="preserve"> </w:t>
      </w:r>
      <w:r>
        <w:rPr>
          <w:rFonts w:hint="eastAsia"/>
          <w:rtl/>
          <w:lang w:eastAsia="en-US"/>
        </w:rPr>
        <w:t>ומסודרת</w:t>
      </w:r>
      <w:r>
        <w:rPr>
          <w:rtl/>
          <w:lang w:eastAsia="en-US"/>
        </w:rPr>
        <w:t xml:space="preserve"> </w:t>
      </w:r>
      <w:r>
        <w:rPr>
          <w:rFonts w:hint="eastAsia"/>
          <w:rtl/>
          <w:lang w:eastAsia="en-US"/>
        </w:rPr>
        <w:t>של</w:t>
      </w:r>
      <w:r>
        <w:rPr>
          <w:rtl/>
          <w:lang w:eastAsia="en-US"/>
        </w:rPr>
        <w:t xml:space="preserve"> </w:t>
      </w:r>
      <w:r>
        <w:rPr>
          <w:rFonts w:hint="eastAsia"/>
          <w:rtl/>
          <w:lang w:eastAsia="en-US"/>
        </w:rPr>
        <w:t>כל</w:t>
      </w:r>
      <w:r>
        <w:rPr>
          <w:rtl/>
          <w:lang w:eastAsia="en-US"/>
        </w:rPr>
        <w:t xml:space="preserve"> </w:t>
      </w:r>
      <w:r>
        <w:rPr>
          <w:rFonts w:hint="eastAsia"/>
          <w:rtl/>
          <w:lang w:eastAsia="en-US"/>
        </w:rPr>
        <w:t>מאגרי</w:t>
      </w:r>
      <w:r>
        <w:rPr>
          <w:rtl/>
          <w:lang w:eastAsia="en-US"/>
        </w:rPr>
        <w:t xml:space="preserve"> </w:t>
      </w:r>
      <w:r>
        <w:rPr>
          <w:rFonts w:hint="eastAsia"/>
          <w:rtl/>
          <w:lang w:eastAsia="en-US"/>
        </w:rPr>
        <w:t>המידע</w:t>
      </w:r>
      <w:r>
        <w:rPr>
          <w:rtl/>
          <w:lang w:eastAsia="en-US"/>
        </w:rPr>
        <w:t xml:space="preserve"> </w:t>
      </w:r>
      <w:r>
        <w:rPr>
          <w:rFonts w:hint="eastAsia"/>
          <w:rtl/>
          <w:lang w:eastAsia="en-US"/>
        </w:rPr>
        <w:t>שנמסרו</w:t>
      </w:r>
      <w:r>
        <w:rPr>
          <w:rtl/>
          <w:lang w:eastAsia="en-US"/>
        </w:rPr>
        <w:t xml:space="preserve"> </w:t>
      </w:r>
      <w:r>
        <w:rPr>
          <w:rFonts w:hint="eastAsia"/>
          <w:rtl/>
          <w:lang w:eastAsia="en-US"/>
        </w:rPr>
        <w:t>למוסר</w:t>
      </w:r>
      <w:r>
        <w:rPr>
          <w:rtl/>
          <w:lang w:eastAsia="en-US"/>
        </w:rPr>
        <w:t xml:space="preserve"> </w:t>
      </w:r>
      <w:r>
        <w:rPr>
          <w:rFonts w:hint="eastAsia"/>
          <w:rtl/>
          <w:lang w:eastAsia="en-US"/>
        </w:rPr>
        <w:t>ביום</w:t>
      </w:r>
      <w:r>
        <w:rPr>
          <w:rtl/>
          <w:lang w:eastAsia="en-US"/>
        </w:rPr>
        <w:t xml:space="preserve"> </w:t>
      </w:r>
      <w:r>
        <w:rPr>
          <w:rFonts w:hint="eastAsia"/>
          <w:rtl/>
          <w:lang w:eastAsia="en-US"/>
        </w:rPr>
        <w:t>תחילת</w:t>
      </w:r>
      <w:r>
        <w:rPr>
          <w:rtl/>
          <w:lang w:eastAsia="en-US"/>
        </w:rPr>
        <w:t xml:space="preserve"> </w:t>
      </w:r>
      <w:r>
        <w:rPr>
          <w:rFonts w:hint="eastAsia"/>
          <w:rtl/>
          <w:lang w:eastAsia="en-US"/>
        </w:rPr>
        <w:t>פעילותו</w:t>
      </w:r>
      <w:r>
        <w:rPr>
          <w:rtl/>
          <w:lang w:eastAsia="en-US"/>
        </w:rPr>
        <w:t xml:space="preserve"> </w:t>
      </w:r>
      <w:r>
        <w:rPr>
          <w:rFonts w:hint="eastAsia"/>
          <w:rtl/>
          <w:lang w:eastAsia="en-US"/>
        </w:rPr>
        <w:t>וכל</w:t>
      </w:r>
      <w:r>
        <w:rPr>
          <w:rtl/>
          <w:lang w:eastAsia="en-US"/>
        </w:rPr>
        <w:t xml:space="preserve"> </w:t>
      </w:r>
      <w:r>
        <w:rPr>
          <w:rFonts w:hint="eastAsia"/>
          <w:rtl/>
          <w:lang w:eastAsia="en-US"/>
        </w:rPr>
        <w:t>השינויים</w:t>
      </w:r>
      <w:r>
        <w:rPr>
          <w:rtl/>
          <w:lang w:eastAsia="en-US"/>
        </w:rPr>
        <w:t xml:space="preserve"> </w:t>
      </w:r>
      <w:r>
        <w:rPr>
          <w:rFonts w:hint="eastAsia"/>
          <w:rtl/>
          <w:lang w:eastAsia="en-US"/>
        </w:rPr>
        <w:t>והתוספות</w:t>
      </w:r>
      <w:r>
        <w:rPr>
          <w:rtl/>
          <w:lang w:eastAsia="en-US"/>
        </w:rPr>
        <w:t xml:space="preserve"> </w:t>
      </w:r>
      <w:r>
        <w:rPr>
          <w:rFonts w:hint="eastAsia"/>
          <w:rtl/>
          <w:lang w:eastAsia="en-US"/>
        </w:rPr>
        <w:t>שחלו</w:t>
      </w:r>
      <w:r>
        <w:rPr>
          <w:rtl/>
          <w:lang w:eastAsia="en-US"/>
        </w:rPr>
        <w:t xml:space="preserve"> </w:t>
      </w:r>
      <w:r>
        <w:rPr>
          <w:rFonts w:hint="eastAsia"/>
          <w:rtl/>
          <w:lang w:eastAsia="en-US"/>
        </w:rPr>
        <w:t>בהם</w:t>
      </w:r>
      <w:r>
        <w:rPr>
          <w:rtl/>
          <w:lang w:eastAsia="en-US"/>
        </w:rPr>
        <w:t xml:space="preserve"> (מידע </w:t>
      </w:r>
      <w:r>
        <w:rPr>
          <w:rFonts w:hint="eastAsia"/>
          <w:rtl/>
          <w:lang w:eastAsia="en-US"/>
        </w:rPr>
        <w:t>ממוחשב</w:t>
      </w:r>
      <w:r>
        <w:rPr>
          <w:rtl/>
          <w:lang w:eastAsia="en-US"/>
        </w:rPr>
        <w:t xml:space="preserve">, </w:t>
      </w:r>
      <w:r>
        <w:rPr>
          <w:rFonts w:hint="eastAsia"/>
          <w:rtl/>
          <w:lang w:eastAsia="en-US"/>
        </w:rPr>
        <w:t>תיקים</w:t>
      </w:r>
      <w:r>
        <w:rPr>
          <w:rtl/>
          <w:lang w:eastAsia="en-US"/>
        </w:rPr>
        <w:t xml:space="preserve">, </w:t>
      </w:r>
      <w:r>
        <w:rPr>
          <w:rFonts w:hint="eastAsia"/>
          <w:rtl/>
          <w:lang w:eastAsia="en-US"/>
        </w:rPr>
        <w:t>חוזרים</w:t>
      </w:r>
      <w:r>
        <w:rPr>
          <w:rtl/>
          <w:lang w:eastAsia="en-US"/>
        </w:rPr>
        <w:t xml:space="preserve"> </w:t>
      </w:r>
      <w:r>
        <w:rPr>
          <w:rFonts w:hint="eastAsia"/>
          <w:rtl/>
          <w:lang w:eastAsia="en-US"/>
        </w:rPr>
        <w:t>וכו</w:t>
      </w:r>
      <w:r>
        <w:rPr>
          <w:rtl/>
          <w:lang w:eastAsia="en-US"/>
        </w:rPr>
        <w:t>').</w:t>
      </w:r>
    </w:p>
    <w:p>
      <w:pPr>
        <w:widowControl w:val="0"/>
        <w:tabs>
          <w:tab w:val="num" w:pos="1275"/>
        </w:tabs>
        <w:spacing w:line="300" w:lineRule="atLeast"/>
        <w:ind w:left="1275" w:hanging="567"/>
        <w:rPr>
          <w:lang w:eastAsia="en-US"/>
        </w:rPr>
      </w:pPr>
    </w:p>
    <w:p>
      <w:pPr>
        <w:widowControl w:val="0"/>
        <w:numPr>
          <w:ilvl w:val="0"/>
          <w:numId w:val="8"/>
        </w:numPr>
        <w:spacing w:line="300" w:lineRule="atLeast"/>
        <w:ind w:right="0"/>
        <w:textAlignment w:val="auto"/>
        <w:rPr>
          <w:lang w:eastAsia="en-US"/>
        </w:rPr>
      </w:pPr>
      <w:r>
        <w:rPr>
          <w:rFonts w:hint="eastAsia"/>
          <w:rtl/>
          <w:lang w:eastAsia="en-US"/>
        </w:rPr>
        <w:t>מסירה</w:t>
      </w:r>
      <w:r>
        <w:rPr>
          <w:rtl/>
          <w:lang w:eastAsia="en-US"/>
        </w:rPr>
        <w:t xml:space="preserve"> מאורגנת של כל מידע הדרוש למקבל לצורך תפעול מיידי ושלם של הפרוייקט. </w:t>
      </w:r>
    </w:p>
    <w:p>
      <w:pPr>
        <w:widowControl w:val="0"/>
        <w:tabs>
          <w:tab w:val="num" w:pos="1275"/>
        </w:tabs>
        <w:spacing w:line="300" w:lineRule="atLeast"/>
        <w:ind w:left="1275" w:hanging="567"/>
        <w:rPr>
          <w:rtl/>
          <w:lang w:eastAsia="en-US"/>
        </w:rPr>
      </w:pPr>
    </w:p>
    <w:p>
      <w:pPr>
        <w:widowControl w:val="0"/>
        <w:numPr>
          <w:ilvl w:val="0"/>
          <w:numId w:val="8"/>
        </w:numPr>
        <w:spacing w:line="300" w:lineRule="atLeast"/>
        <w:ind w:right="0"/>
        <w:textAlignment w:val="auto"/>
        <w:rPr>
          <w:lang w:eastAsia="en-US"/>
        </w:rPr>
      </w:pPr>
      <w:r>
        <w:rPr>
          <w:rFonts w:hint="eastAsia"/>
          <w:rtl/>
          <w:lang w:eastAsia="en-US"/>
        </w:rPr>
        <w:t>המוסר</w:t>
      </w:r>
      <w:r>
        <w:rPr>
          <w:rtl/>
          <w:lang w:eastAsia="en-US"/>
        </w:rPr>
        <w:t xml:space="preserve"> והמקבל יעבדו במשותף </w:t>
      </w:r>
      <w:r>
        <w:rPr>
          <w:rFonts w:hint="eastAsia"/>
          <w:b/>
          <w:bCs/>
          <w:u w:val="single"/>
          <w:rtl/>
          <w:lang w:eastAsia="en-US"/>
        </w:rPr>
        <w:t>במשך</w:t>
      </w:r>
      <w:r>
        <w:rPr>
          <w:b/>
          <w:bCs/>
          <w:u w:val="single"/>
          <w:rtl/>
          <w:lang w:eastAsia="en-US"/>
        </w:rPr>
        <w:t xml:space="preserve"> </w:t>
      </w:r>
      <w:r>
        <w:rPr>
          <w:rFonts w:hint="eastAsia"/>
          <w:b/>
          <w:bCs/>
          <w:u w:val="single"/>
          <w:rtl/>
          <w:lang w:eastAsia="en-US"/>
        </w:rPr>
        <w:t>שבועיים</w:t>
      </w:r>
      <w:r>
        <w:rPr>
          <w:b/>
          <w:bCs/>
          <w:u w:val="single"/>
          <w:rtl/>
          <w:lang w:eastAsia="en-US"/>
        </w:rPr>
        <w:t xml:space="preserve"> </w:t>
      </w:r>
      <w:r>
        <w:rPr>
          <w:rFonts w:hint="eastAsia"/>
          <w:b/>
          <w:bCs/>
          <w:u w:val="single"/>
          <w:rtl/>
          <w:lang w:eastAsia="en-US"/>
        </w:rPr>
        <w:t>שלמים</w:t>
      </w:r>
      <w:r>
        <w:rPr>
          <w:rtl/>
          <w:lang w:eastAsia="en-US"/>
        </w:rPr>
        <w:t xml:space="preserve"> לצורך סגירת כל מחויבות המוסר, הדרכה צמודה של המקבל וסיוע למקבל בהפקת הדו"חות החודשיים הנובעים מחודש החפיפה. </w:t>
      </w:r>
    </w:p>
    <w:p>
      <w:pPr>
        <w:widowControl w:val="0"/>
        <w:tabs>
          <w:tab w:val="num" w:pos="1275"/>
        </w:tabs>
        <w:spacing w:line="300" w:lineRule="atLeast"/>
        <w:ind w:left="1275" w:hanging="567"/>
        <w:rPr>
          <w:lang w:eastAsia="en-US"/>
        </w:rPr>
      </w:pPr>
    </w:p>
    <w:p>
      <w:pPr>
        <w:widowControl w:val="0"/>
        <w:numPr>
          <w:ilvl w:val="0"/>
          <w:numId w:val="8"/>
        </w:numPr>
        <w:spacing w:line="300" w:lineRule="atLeast"/>
        <w:ind w:right="0"/>
        <w:textAlignment w:val="auto"/>
        <w:rPr>
          <w:rFonts w:ascii="Arial" w:hAnsi="Arial"/>
          <w:lang w:eastAsia="en-US"/>
        </w:rPr>
      </w:pPr>
      <w:r>
        <w:rPr>
          <w:rFonts w:ascii="Arial" w:hAnsi="Arial" w:hint="eastAsia"/>
          <w:rtl/>
          <w:lang w:eastAsia="en-US"/>
        </w:rPr>
        <w:t>תקופת</w:t>
      </w:r>
      <w:r>
        <w:rPr>
          <w:rFonts w:ascii="Arial" w:hAnsi="Arial"/>
          <w:rtl/>
          <w:lang w:eastAsia="en-US"/>
        </w:rPr>
        <w:t xml:space="preserve"> </w:t>
      </w:r>
      <w:r>
        <w:rPr>
          <w:rFonts w:ascii="Arial" w:hAnsi="Arial" w:hint="eastAsia"/>
          <w:rtl/>
          <w:lang w:eastAsia="en-US"/>
        </w:rPr>
        <w:t>ההתקשרות</w:t>
      </w:r>
      <w:r>
        <w:rPr>
          <w:rFonts w:ascii="Arial" w:hAnsi="Arial"/>
          <w:rtl/>
          <w:lang w:eastAsia="en-US"/>
        </w:rPr>
        <w:t xml:space="preserve"> </w:t>
      </w:r>
      <w:r>
        <w:rPr>
          <w:rFonts w:ascii="Arial" w:hAnsi="Arial" w:hint="eastAsia"/>
          <w:rtl/>
          <w:lang w:eastAsia="en-US"/>
        </w:rPr>
        <w:t>בין</w:t>
      </w:r>
      <w:r>
        <w:rPr>
          <w:rFonts w:ascii="Arial" w:hAnsi="Arial"/>
          <w:rtl/>
          <w:lang w:eastAsia="en-US"/>
        </w:rPr>
        <w:t xml:space="preserve"> </w:t>
      </w:r>
      <w:r>
        <w:rPr>
          <w:rFonts w:ascii="Arial" w:hAnsi="Arial" w:hint="eastAsia"/>
          <w:rtl/>
          <w:lang w:eastAsia="en-US"/>
        </w:rPr>
        <w:t>המשרד</w:t>
      </w:r>
      <w:r>
        <w:rPr>
          <w:rFonts w:ascii="Arial" w:hAnsi="Arial"/>
          <w:rtl/>
          <w:lang w:eastAsia="en-US"/>
        </w:rPr>
        <w:t xml:space="preserve"> </w:t>
      </w:r>
      <w:r>
        <w:rPr>
          <w:rFonts w:ascii="Arial" w:hAnsi="Arial" w:hint="eastAsia"/>
          <w:rtl/>
          <w:lang w:eastAsia="en-US"/>
        </w:rPr>
        <w:t>לספק</w:t>
      </w:r>
      <w:r>
        <w:rPr>
          <w:rFonts w:ascii="Arial" w:hAnsi="Arial"/>
          <w:rtl/>
          <w:lang w:eastAsia="en-US"/>
        </w:rPr>
        <w:t xml:space="preserve"> </w:t>
      </w:r>
      <w:r>
        <w:rPr>
          <w:rFonts w:ascii="Arial" w:hAnsi="Arial" w:hint="eastAsia"/>
          <w:rtl/>
          <w:lang w:eastAsia="en-US"/>
        </w:rPr>
        <w:t>החדש</w:t>
      </w:r>
      <w:r>
        <w:rPr>
          <w:rFonts w:ascii="Arial" w:hAnsi="Arial"/>
          <w:rtl/>
          <w:lang w:eastAsia="en-US"/>
        </w:rPr>
        <w:t xml:space="preserve"> (המקבל) </w:t>
      </w:r>
      <w:r>
        <w:rPr>
          <w:rFonts w:ascii="Arial" w:hAnsi="Arial" w:hint="eastAsia"/>
          <w:rtl/>
          <w:lang w:eastAsia="en-US"/>
        </w:rPr>
        <w:t>תחל</w:t>
      </w:r>
      <w:r>
        <w:rPr>
          <w:rFonts w:ascii="Arial" w:hAnsi="Arial"/>
          <w:rtl/>
          <w:lang w:eastAsia="en-US"/>
        </w:rPr>
        <w:t xml:space="preserve"> </w:t>
      </w:r>
      <w:r>
        <w:rPr>
          <w:rFonts w:ascii="Arial" w:hAnsi="Arial" w:hint="eastAsia"/>
          <w:rtl/>
          <w:lang w:eastAsia="en-US"/>
        </w:rPr>
        <w:t>במועד</w:t>
      </w:r>
      <w:r>
        <w:rPr>
          <w:rFonts w:ascii="Arial" w:hAnsi="Arial"/>
          <w:rtl/>
          <w:lang w:eastAsia="en-US"/>
        </w:rPr>
        <w:t xml:space="preserve"> </w:t>
      </w:r>
      <w:r>
        <w:rPr>
          <w:rFonts w:ascii="Arial" w:hAnsi="Arial" w:hint="eastAsia"/>
          <w:rtl/>
          <w:lang w:eastAsia="en-US"/>
        </w:rPr>
        <w:t>תחילת</w:t>
      </w:r>
      <w:r>
        <w:rPr>
          <w:rFonts w:ascii="Arial" w:hAnsi="Arial"/>
          <w:rtl/>
          <w:lang w:eastAsia="en-US"/>
        </w:rPr>
        <w:t xml:space="preserve"> </w:t>
      </w:r>
      <w:r>
        <w:rPr>
          <w:rFonts w:ascii="Arial" w:hAnsi="Arial" w:hint="eastAsia"/>
          <w:rtl/>
          <w:lang w:eastAsia="en-US"/>
        </w:rPr>
        <w:t>החפיפה</w:t>
      </w:r>
      <w:r>
        <w:rPr>
          <w:rFonts w:ascii="Arial" w:hAnsi="Arial"/>
          <w:rtl/>
          <w:lang w:eastAsia="en-US"/>
        </w:rPr>
        <w:t>.</w:t>
      </w:r>
    </w:p>
    <w:p>
      <w:pPr>
        <w:widowControl w:val="0"/>
        <w:spacing w:line="300" w:lineRule="atLeast"/>
        <w:rPr>
          <w:lang w:eastAsia="en-US"/>
        </w:rPr>
      </w:pPr>
    </w:p>
    <w:p>
      <w:pPr>
        <w:widowControl w:val="0"/>
        <w:numPr>
          <w:ilvl w:val="0"/>
          <w:numId w:val="8"/>
        </w:numPr>
        <w:spacing w:line="300" w:lineRule="atLeast"/>
        <w:ind w:right="0"/>
        <w:textAlignment w:val="auto"/>
        <w:rPr>
          <w:rtl/>
          <w:lang w:eastAsia="en-US"/>
        </w:rPr>
      </w:pPr>
      <w:r>
        <w:rPr>
          <w:rFonts w:hint="eastAsia"/>
          <w:rtl/>
          <w:lang w:eastAsia="en-US"/>
        </w:rPr>
        <w:t>תנאי</w:t>
      </w:r>
      <w:r>
        <w:rPr>
          <w:rtl/>
          <w:lang w:eastAsia="en-US"/>
        </w:rPr>
        <w:t xml:space="preserve"> מחייב לביצוע התשלום האחרון למוסר הינו קיומה של החפיפה לשביעות רצון האגף והגשת דו"ח פעילות סופי, מבוקר ומאושר ע"י רו"ח של </w:t>
      </w:r>
      <w:r>
        <w:rPr>
          <w:rFonts w:hint="eastAsia"/>
          <w:rtl/>
          <w:lang w:eastAsia="en-US"/>
        </w:rPr>
        <w:t>המוסר</w:t>
      </w:r>
      <w:r>
        <w:rPr>
          <w:rtl/>
          <w:lang w:eastAsia="en-US"/>
        </w:rPr>
        <w:t xml:space="preserve">. </w:t>
      </w:r>
    </w:p>
    <w:p>
      <w:pPr>
        <w:widowControl w:val="0"/>
        <w:spacing w:line="300" w:lineRule="atLeast"/>
        <w:ind w:left="708"/>
        <w:rPr>
          <w:position w:val="2"/>
          <w:rtl/>
          <w:lang w:eastAsia="en-US"/>
        </w:rPr>
      </w:pPr>
    </w:p>
    <w:p>
      <w:pPr>
        <w:widowControl w:val="0"/>
        <w:spacing w:line="300" w:lineRule="atLeast"/>
        <w:ind w:left="708"/>
        <w:rPr>
          <w:position w:val="2"/>
          <w:rtl/>
          <w:lang w:eastAsia="en-US"/>
        </w:rPr>
      </w:pPr>
    </w:p>
    <w:p>
      <w:pPr>
        <w:widowControl w:val="0"/>
        <w:spacing w:line="300" w:lineRule="atLeast"/>
        <w:ind w:left="708"/>
        <w:rPr>
          <w:position w:val="2"/>
          <w:rtl/>
          <w:lang w:eastAsia="en-US"/>
        </w:rPr>
      </w:pPr>
    </w:p>
    <w:p>
      <w:pPr>
        <w:widowControl w:val="0"/>
        <w:spacing w:line="300" w:lineRule="atLeast"/>
        <w:ind w:left="708"/>
        <w:rPr>
          <w:position w:val="2"/>
          <w:rtl/>
          <w:lang w:eastAsia="en-US"/>
        </w:rPr>
      </w:pPr>
    </w:p>
    <w:p>
      <w:pPr>
        <w:widowControl w:val="0"/>
        <w:spacing w:line="300" w:lineRule="atLeast"/>
        <w:ind w:left="708"/>
        <w:rPr>
          <w:position w:val="2"/>
          <w:rtl/>
          <w:lang w:eastAsia="en-US"/>
        </w:rPr>
      </w:pPr>
    </w:p>
    <w:p>
      <w:pPr>
        <w:widowControl w:val="0"/>
        <w:numPr>
          <w:ilvl w:val="0"/>
          <w:numId w:val="9"/>
        </w:numPr>
        <w:spacing w:line="300" w:lineRule="atLeast"/>
        <w:rPr>
          <w:b/>
          <w:bCs/>
          <w:sz w:val="28"/>
          <w:szCs w:val="28"/>
          <w:u w:val="single"/>
          <w:rtl/>
        </w:rPr>
      </w:pPr>
      <w:r>
        <w:rPr>
          <w:rFonts w:hint="cs"/>
          <w:b/>
          <w:bCs/>
          <w:sz w:val="28"/>
          <w:szCs w:val="28"/>
          <w:u w:val="single"/>
          <w:rtl/>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9"/>
        </w:numPr>
        <w:spacing w:line="300" w:lineRule="atLeast"/>
        <w:ind w:right="-284"/>
        <w:textAlignment w:val="auto"/>
      </w:pPr>
      <w:r>
        <w:rPr>
          <w:rtl/>
        </w:rPr>
        <w:t xml:space="preserve">מוסכם בזאת </w:t>
      </w:r>
      <w:bookmarkStart w:id="25" w:name="_Hlk165451895"/>
      <w:r>
        <w:rPr>
          <w:rtl/>
        </w:rPr>
        <w:t xml:space="preserve">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הספק</w:t>
      </w:r>
      <w:r>
        <w:rPr>
          <w:rtl/>
        </w:rPr>
        <w:t xml:space="preserve"> ו/או על-ידי עובדיו ו/או על-ידי מועסקיו, הן ויהיו בבעלות מלאה ובלעדית של המדינה</w:t>
      </w:r>
      <w:r>
        <w:rPr>
          <w:rFonts w:hint="cs"/>
          <w:rtl/>
        </w:rPr>
        <w:t xml:space="preserve">. </w:t>
      </w:r>
      <w:bookmarkEnd w:id="25"/>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p>
    <w:p>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סימני מסחר [נוסח חדש], התשל"ב- </w:t>
      </w:r>
      <w:r>
        <w:rPr>
          <w:b/>
          <w:bCs/>
          <w:rtl/>
        </w:rPr>
        <w:t>1972</w:t>
      </w:r>
      <w:r>
        <w:rPr>
          <w:rtl/>
        </w:rPr>
        <w:t>, זכויות  לפי פקודת הפטנטים והמדגמים או כל זכות קניין רוחני אחרת.</w:t>
      </w:r>
    </w:p>
    <w:p>
      <w:pPr>
        <w:widowControl w:val="0"/>
        <w:spacing w:line="300" w:lineRule="atLeast"/>
        <w:ind w:right="-284"/>
      </w:pPr>
    </w:p>
    <w:p>
      <w:pPr>
        <w:widowControl w:val="0"/>
        <w:numPr>
          <w:ilvl w:val="1"/>
          <w:numId w:val="9"/>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הספק</w:t>
      </w:r>
      <w:r>
        <w:rPr>
          <w:rtl/>
        </w:rPr>
        <w:t xml:space="preserve"> יהא אחראי להבטיח את הבעלות הבלעדית כאמור בסעיף </w:t>
      </w:r>
      <w:r>
        <w:rPr>
          <w:rFonts w:hint="cs"/>
          <w:b/>
          <w:bCs/>
          <w:rtl/>
        </w:rPr>
        <w:t>9.1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הספק</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spacing w:line="300" w:lineRule="atLeast"/>
        <w:ind w:right="-284"/>
      </w:pPr>
    </w:p>
    <w:p>
      <w:pPr>
        <w:widowControl w:val="0"/>
        <w:numPr>
          <w:ilvl w:val="1"/>
          <w:numId w:val="9"/>
        </w:numPr>
        <w:spacing w:line="300" w:lineRule="atLeast"/>
        <w:ind w:right="-284"/>
        <w:textAlignment w:val="auto"/>
        <w:rPr>
          <w:rtl/>
        </w:rPr>
      </w:pPr>
      <w:r>
        <w:rPr>
          <w:rtl/>
        </w:rPr>
        <w:t>זכויות קניין רוחני בגין תוצרי ידע</w:t>
      </w:r>
      <w:r>
        <w:rPr>
          <w:rFonts w:hint="cs"/>
          <w:rtl/>
        </w:rPr>
        <w:t xml:space="preserve"> יהיו בהתאם לאמור בסעיף 2.4 </w:t>
      </w:r>
      <w:hyperlink r:id="rId12" w:history="1">
        <w:r>
          <w:rPr>
            <w:rStyle w:val="Hyperlink"/>
            <w:rFonts w:hint="cs"/>
            <w:rtl/>
          </w:rPr>
          <w:t>בהוראת תכ"ם 7.10.4. "עקרונות להתקשרות עם מוסדות מחקר".</w:t>
        </w:r>
      </w:hyperlink>
    </w:p>
    <w:p>
      <w:pPr>
        <w:pStyle w:val="aff2"/>
        <w:widowControl w:val="0"/>
        <w:numPr>
          <w:ilvl w:val="4"/>
          <w:numId w:val="9"/>
        </w:numPr>
        <w:spacing w:line="300" w:lineRule="atLeast"/>
        <w:ind w:left="1814" w:right="-284"/>
        <w:textAlignment w:val="auto"/>
      </w:pPr>
      <w:r>
        <w:rPr>
          <w:rtl/>
        </w:rPr>
        <w:t>מחקר</w:t>
      </w:r>
      <w:r>
        <w:rPr>
          <w:rFonts w:hint="cs"/>
          <w:rtl/>
        </w:rPr>
        <w:t xml:space="preserve"> ופיתוח - </w:t>
      </w:r>
      <w:r>
        <w:rPr>
          <w:rtl/>
        </w:rPr>
        <w:t>זכויות קניין רוחני</w:t>
      </w:r>
      <w:r>
        <w:rPr>
          <w:rFonts w:hint="cs"/>
          <w:rtl/>
        </w:rPr>
        <w:t>,</w:t>
      </w:r>
      <w:r>
        <w:rPr>
          <w:rtl/>
        </w:rPr>
        <w:t xml:space="preserve"> אשר נוצרו במסגרת</w:t>
      </w:r>
      <w:r>
        <w:rPr>
          <w:rFonts w:hint="cs"/>
          <w:rtl/>
        </w:rPr>
        <w:t>/</w:t>
      </w:r>
      <w:r>
        <w:rPr>
          <w:rtl/>
        </w:rPr>
        <w:t>כתוצאה ממחק</w:t>
      </w:r>
      <w:r>
        <w:rPr>
          <w:rFonts w:hint="cs"/>
          <w:rtl/>
        </w:rPr>
        <w:t>ר ופיתוח</w:t>
      </w:r>
      <w:r>
        <w:rPr>
          <w:rtl/>
        </w:rPr>
        <w:t xml:space="preserve">, </w:t>
      </w:r>
      <w:r>
        <w:rPr>
          <w:rFonts w:hint="cs"/>
          <w:rtl/>
        </w:rPr>
        <w:t>ת</w:t>
      </w:r>
      <w:r>
        <w:rPr>
          <w:rtl/>
        </w:rPr>
        <w:t>קבע</w:t>
      </w:r>
      <w:r>
        <w:rPr>
          <w:rFonts w:hint="cs"/>
          <w:rtl/>
        </w:rPr>
        <w:t>נה</w:t>
      </w:r>
      <w:r>
        <w:rPr>
          <w:rtl/>
        </w:rPr>
        <w:t xml:space="preserve"> </w:t>
      </w:r>
      <w:r>
        <w:rPr>
          <w:rFonts w:hint="cs"/>
          <w:rtl/>
        </w:rPr>
        <w:t>בהתאם</w:t>
      </w:r>
      <w:r>
        <w:rPr>
          <w:rtl/>
        </w:rPr>
        <w:t xml:space="preserve"> </w:t>
      </w:r>
      <w:r>
        <w:rPr>
          <w:rFonts w:hint="cs"/>
          <w:rtl/>
        </w:rPr>
        <w:t>ל</w:t>
      </w:r>
      <w:hyperlink r:id="rId13" w:history="1">
        <w:r>
          <w:rPr>
            <w:rStyle w:val="Hyperlink"/>
            <w:rtl/>
          </w:rPr>
          <w:t>החלט</w:t>
        </w:r>
        <w:r>
          <w:rPr>
            <w:rStyle w:val="Hyperlink"/>
            <w:rFonts w:hint="cs"/>
            <w:rtl/>
          </w:rPr>
          <w:t>ת</w:t>
        </w:r>
        <w:r>
          <w:rPr>
            <w:rStyle w:val="Hyperlink"/>
            <w:rtl/>
          </w:rPr>
          <w:t xml:space="preserve"> ממשלה</w:t>
        </w:r>
        <w:r>
          <w:rPr>
            <w:rStyle w:val="Hyperlink"/>
            <w:rFonts w:hint="cs"/>
            <w:rtl/>
          </w:rPr>
          <w:t xml:space="preserve"> מס'</w:t>
        </w:r>
        <w:r>
          <w:rPr>
            <w:rStyle w:val="Hyperlink"/>
            <w:rtl/>
          </w:rPr>
          <w:t xml:space="preserve"> 2575 (חכ/122) מיום</w:t>
        </w:r>
        <w:r>
          <w:rPr>
            <w:rStyle w:val="Hyperlink"/>
            <w:rFonts w:hint="cs"/>
            <w:rtl/>
          </w:rPr>
          <w:t xml:space="preserve"> 23 בספטמבר 2004, בנושא ''</w:t>
        </w:r>
        <w:r>
          <w:rPr>
            <w:rStyle w:val="Hyperlink"/>
            <w:rtl/>
          </w:rPr>
          <w:t>קידום ופיתוח ידע הנוצר במימון מענקי מחקר ממשלתיים</w:t>
        </w:r>
        <w:r>
          <w:rPr>
            <w:rStyle w:val="Hyperlink"/>
            <w:rFonts w:hint="cs"/>
            <w:rtl/>
          </w:rPr>
          <w:t>''.</w:t>
        </w:r>
      </w:hyperlink>
    </w:p>
    <w:p>
      <w:pPr>
        <w:pStyle w:val="aff2"/>
        <w:widowControl w:val="0"/>
        <w:numPr>
          <w:ilvl w:val="4"/>
          <w:numId w:val="9"/>
        </w:numPr>
        <w:spacing w:line="300" w:lineRule="atLeast"/>
        <w:ind w:left="1814" w:right="-284"/>
        <w:textAlignment w:val="auto"/>
      </w:pPr>
      <w:r>
        <w:rPr>
          <w:rFonts w:hint="cs"/>
          <w:rtl/>
        </w:rPr>
        <w:t xml:space="preserve">הזמנת עבודה מוגדרת - </w:t>
      </w:r>
      <w:r>
        <w:rPr>
          <w:rtl/>
        </w:rPr>
        <w:t xml:space="preserve">זכויות קניין רוחני </w:t>
      </w:r>
      <w:r>
        <w:rPr>
          <w:rFonts w:hint="cs"/>
          <w:rtl/>
        </w:rPr>
        <w:t>ת</w:t>
      </w:r>
      <w:r>
        <w:rPr>
          <w:rtl/>
        </w:rPr>
        <w:t>קבע</w:t>
      </w:r>
      <w:r>
        <w:rPr>
          <w:rFonts w:hint="cs"/>
          <w:rtl/>
        </w:rPr>
        <w:t xml:space="preserve">נה </w:t>
      </w:r>
      <w:r>
        <w:rPr>
          <w:rtl/>
        </w:rPr>
        <w:t>כחלק מתנאי ההתקשרות בין המשרד המזמין ל</w:t>
      </w:r>
      <w:r>
        <w:rPr>
          <w:rFonts w:hint="cs"/>
          <w:rtl/>
        </w:rPr>
        <w:t xml:space="preserve">בין </w:t>
      </w:r>
      <w:r>
        <w:rPr>
          <w:rtl/>
        </w:rPr>
        <w:t xml:space="preserve">מוסד המחקר, </w:t>
      </w:r>
      <w:r>
        <w:rPr>
          <w:rFonts w:hint="cs"/>
          <w:rtl/>
        </w:rPr>
        <w:t>בהתאם לתרומתו ההמצאתית של כל צד ולמפורט להלן:</w:t>
      </w:r>
      <w:bookmarkStart w:id="26" w:name="_Ref518895114"/>
    </w:p>
    <w:p>
      <w:pPr>
        <w:pStyle w:val="aff2"/>
        <w:widowControl w:val="0"/>
        <w:spacing w:line="300" w:lineRule="atLeast"/>
        <w:ind w:left="1814" w:right="-284"/>
        <w:textAlignment w:val="auto"/>
      </w:pPr>
      <w:r>
        <w:rPr>
          <w:rtl/>
        </w:rPr>
        <w:t>למשרד המזמין יינתן רישיון שימוש בלתי מוגבל, לא בלעדי ובלתי חוזר</w:t>
      </w:r>
      <w:r>
        <w:rPr>
          <w:rFonts w:hint="cs"/>
          <w:rtl/>
        </w:rPr>
        <w:t>,</w:t>
      </w:r>
      <w:r>
        <w:rPr>
          <w:rtl/>
        </w:rPr>
        <w:t xml:space="preserve"> בתוצרי הידע שנוצרו כתוצאה </w:t>
      </w:r>
      <w:r>
        <w:rPr>
          <w:rFonts w:hint="cs"/>
          <w:rtl/>
        </w:rPr>
        <w:t xml:space="preserve">מהעבודה המוגדרת, למטרות לאומיות שתוגדרנה בהזמנת העבודה. </w:t>
      </w:r>
    </w:p>
    <w:bookmarkEnd w:id="26"/>
    <w:p>
      <w:pPr>
        <w:pStyle w:val="aff2"/>
        <w:widowControl w:val="0"/>
        <w:numPr>
          <w:ilvl w:val="4"/>
          <w:numId w:val="9"/>
        </w:numPr>
        <w:spacing w:line="300" w:lineRule="atLeast"/>
        <w:ind w:left="1814" w:right="-284"/>
        <w:textAlignment w:val="auto"/>
      </w:pPr>
      <w:r>
        <w:rPr>
          <w:rtl/>
        </w:rPr>
        <w:t>שירותים</w:t>
      </w:r>
      <w:r>
        <w:rPr>
          <w:rFonts w:hint="cs"/>
          <w:rtl/>
        </w:rPr>
        <w:t xml:space="preserve"> - </w:t>
      </w:r>
      <w:r>
        <w:rPr>
          <w:rtl/>
        </w:rPr>
        <w:t xml:space="preserve">קניין רוחני </w:t>
      </w:r>
      <w:r>
        <w:rPr>
          <w:rFonts w:hint="cs"/>
          <w:rtl/>
        </w:rPr>
        <w:t xml:space="preserve">אשר </w:t>
      </w:r>
      <w:r>
        <w:rPr>
          <w:rtl/>
        </w:rPr>
        <w:t>נוצר במסגרת</w:t>
      </w:r>
      <w:r>
        <w:rPr>
          <w:rFonts w:hint="cs"/>
          <w:rtl/>
        </w:rPr>
        <w:t>/</w:t>
      </w:r>
      <w:r>
        <w:rPr>
          <w:rtl/>
        </w:rPr>
        <w:t>כתוצאה ממתן</w:t>
      </w:r>
      <w:r>
        <w:rPr>
          <w:rFonts w:hint="cs"/>
          <w:rtl/>
        </w:rPr>
        <w:t xml:space="preserve"> </w:t>
      </w:r>
      <w:r>
        <w:rPr>
          <w:rtl/>
        </w:rPr>
        <w:t>שירותים יהיה בבעלות המדינה.</w:t>
      </w:r>
    </w:p>
    <w:p>
      <w:pPr>
        <w:widowControl w:val="0"/>
        <w:spacing w:line="300" w:lineRule="atLeast"/>
        <w:ind w:left="1418" w:right="-284"/>
        <w:textAlignment w:val="auto"/>
      </w:pPr>
    </w:p>
    <w:p>
      <w:pPr>
        <w:widowControl w:val="0"/>
        <w:numPr>
          <w:ilvl w:val="1"/>
          <w:numId w:val="9"/>
        </w:numPr>
        <w:spacing w:line="300" w:lineRule="atLeast"/>
        <w:ind w:right="-284"/>
        <w:textAlignment w:val="auto"/>
      </w:pPr>
      <w:r>
        <w:rPr>
          <w:rtl/>
        </w:rPr>
        <w:t>למען הסר ספק ומבלי לגרוע מהאמור בהסכם זה, הספק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הספק, לרבות מבלי לציין את שמות הספק ו/או מי מטעמו ו/או עובדיו</w:t>
      </w:r>
      <w:r>
        <w:rPr>
          <w:rFonts w:hint="cs"/>
          <w:rtl/>
        </w:rPr>
        <w:t>.</w:t>
      </w:r>
      <w:r>
        <w:rPr>
          <w:rtl/>
        </w:rPr>
        <w:t xml:space="preserve"> </w:t>
      </w:r>
    </w:p>
    <w:p>
      <w:pPr>
        <w:widowControl w:val="0"/>
        <w:spacing w:line="300" w:lineRule="atLeast"/>
        <w:ind w:right="-284"/>
        <w:rPr>
          <w:rtl/>
        </w:rPr>
      </w:pPr>
    </w:p>
    <w:p>
      <w:pPr>
        <w:widowControl w:val="0"/>
        <w:numPr>
          <w:ilvl w:val="1"/>
          <w:numId w:val="9"/>
        </w:numPr>
        <w:spacing w:line="300" w:lineRule="atLeast"/>
        <w:ind w:right="-284"/>
        <w:textAlignment w:val="auto"/>
      </w:pPr>
      <w:r>
        <w:rPr>
          <w:rtl/>
        </w:rPr>
        <w:t xml:space="preserve">הספק לא יהיה רשאי להשתמש בכל חומר שהוכן על ידו לצרכי ההסכם, לצרכיו הפנימיים או לצרכי עבודות אחרות, אלא אם כן קיבל אישור בכתב מראש </w:t>
      </w:r>
      <w:r>
        <w:rPr>
          <w:rFonts w:hint="cs"/>
          <w:rtl/>
        </w:rPr>
        <w:t>מ</w:t>
      </w:r>
      <w:r>
        <w:rPr>
          <w:rtl/>
        </w:rPr>
        <w:t>המשרד.</w:t>
      </w:r>
    </w:p>
    <w:p>
      <w:pPr>
        <w:widowControl w:val="0"/>
        <w:spacing w:line="300" w:lineRule="atLeast"/>
        <w:ind w:right="-284"/>
        <w:rPr>
          <w:rtl/>
        </w:rPr>
      </w:pPr>
    </w:p>
    <w:p>
      <w:pPr>
        <w:widowControl w:val="0"/>
        <w:numPr>
          <w:ilvl w:val="1"/>
          <w:numId w:val="9"/>
        </w:numPr>
        <w:spacing w:line="300" w:lineRule="atLeast"/>
        <w:ind w:right="-284"/>
        <w:textAlignment w:val="auto"/>
      </w:pPr>
      <w:r>
        <w:rPr>
          <w:rFonts w:hint="cs"/>
          <w:rtl/>
        </w:rPr>
        <w:t>הספק אינו רשאי לציין את זהותו על גבי דפי המידע. נושא זה כולל: סמלים של הספק, שמו וכל אזכור אחר המזהה אותו.</w:t>
      </w:r>
    </w:p>
    <w:p>
      <w:pPr>
        <w:widowControl w:val="0"/>
        <w:spacing w:line="300" w:lineRule="atLeast"/>
        <w:ind w:right="-284"/>
        <w:rPr>
          <w:rtl/>
        </w:rPr>
      </w:pPr>
    </w:p>
    <w:p>
      <w:pPr>
        <w:widowControl w:val="0"/>
        <w:numPr>
          <w:ilvl w:val="1"/>
          <w:numId w:val="9"/>
        </w:numPr>
        <w:spacing w:line="300" w:lineRule="atLeast"/>
        <w:ind w:right="-284"/>
        <w:textAlignment w:val="auto"/>
      </w:pPr>
      <w:r>
        <w:rPr>
          <w:rtl/>
        </w:rPr>
        <w:t>הספק לא יעביר את המסמכים שהכין במסגרת חובותיו עפ"י מכרז זה ו/או חלק מהם לאחר ולא יפרסם את המסמכים בכל צורה שהיא.</w:t>
      </w:r>
    </w:p>
    <w:p>
      <w:pPr>
        <w:widowControl w:val="0"/>
        <w:spacing w:line="300" w:lineRule="atLeast"/>
        <w:ind w:right="-284"/>
        <w:rPr>
          <w:rtl/>
        </w:rPr>
      </w:pPr>
    </w:p>
    <w:p>
      <w:pPr>
        <w:widowControl w:val="0"/>
        <w:numPr>
          <w:ilvl w:val="1"/>
          <w:numId w:val="9"/>
        </w:numPr>
        <w:spacing w:line="300" w:lineRule="atLeast"/>
        <w:ind w:right="-284"/>
        <w:textAlignment w:val="auto"/>
      </w:pPr>
      <w:r>
        <w:rPr>
          <w:rtl/>
        </w:rPr>
        <w:t xml:space="preserve">הספק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9.1</w:t>
      </w:r>
      <w:r>
        <w:rPr>
          <w:b/>
          <w:bCs/>
          <w:rtl/>
        </w:rPr>
        <w:t xml:space="preserve">, </w:t>
      </w:r>
      <w:r>
        <w:rPr>
          <w:rtl/>
        </w:rPr>
        <w:t>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pPr>
        <w:widowControl w:val="0"/>
        <w:spacing w:line="300" w:lineRule="atLeast"/>
        <w:ind w:right="-284"/>
        <w:rPr>
          <w:rtl/>
        </w:rPr>
      </w:pPr>
    </w:p>
    <w:p>
      <w:pPr>
        <w:widowControl w:val="0"/>
        <w:numPr>
          <w:ilvl w:val="1"/>
          <w:numId w:val="9"/>
        </w:numPr>
        <w:spacing w:line="300" w:lineRule="atLeast"/>
        <w:ind w:right="-284"/>
        <w:textAlignment w:val="auto"/>
        <w:rPr>
          <w:rtl/>
        </w:rPr>
      </w:pPr>
      <w:r>
        <w:rPr>
          <w:rtl/>
        </w:rPr>
        <w:t xml:space="preserve">במידה </w:t>
      </w:r>
      <w:r>
        <w:rPr>
          <w:rFonts w:hint="cs"/>
          <w:rtl/>
        </w:rPr>
        <w:t>ש</w:t>
      </w:r>
      <w:r>
        <w:rPr>
          <w:rtl/>
        </w:rPr>
        <w:t>הספק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היוצרים </w:t>
      </w:r>
      <w:r>
        <w:rPr>
          <w:rtl/>
        </w:rPr>
        <w:t>אם ההיתר כרוך בתשלום, יבצע זאת הספק על חשבונו.</w:t>
      </w:r>
    </w:p>
    <w:p>
      <w:pPr>
        <w:widowControl w:val="0"/>
        <w:numPr>
          <w:ilvl w:val="1"/>
          <w:numId w:val="9"/>
        </w:numPr>
        <w:spacing w:line="300" w:lineRule="atLeast"/>
        <w:ind w:right="-284"/>
        <w:textAlignment w:val="auto"/>
      </w:pPr>
      <w:r>
        <w:rPr>
          <w:rtl/>
        </w:rPr>
        <w:t>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b/>
          <w:bCs/>
          <w:rtl/>
        </w:rPr>
        <w:t>9.1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spacing w:line="300" w:lineRule="atLeast"/>
        <w:ind w:right="-284"/>
      </w:pPr>
      <w:r>
        <w:rPr>
          <w:rtl/>
        </w:rPr>
        <w:t xml:space="preserve">  </w:t>
      </w:r>
    </w:p>
    <w:p>
      <w:pPr>
        <w:widowControl w:val="0"/>
        <w:numPr>
          <w:ilvl w:val="1"/>
          <w:numId w:val="9"/>
        </w:numPr>
        <w:spacing w:line="300" w:lineRule="atLeast"/>
        <w:ind w:right="-284"/>
        <w:textAlignment w:val="auto"/>
      </w:pPr>
      <w:r>
        <w:rPr>
          <w:rtl/>
        </w:rPr>
        <w:t>למען הסר ספק מובהר כי הספק לא יהיה רשאי לעכב תחת ידו חומר כאמור גם במידה שיגיעו לו, לטענתו, תשלומים מאת המשרד.</w:t>
      </w:r>
    </w:p>
    <w:p>
      <w:pPr>
        <w:widowControl w:val="0"/>
        <w:spacing w:line="300" w:lineRule="atLeast"/>
        <w:ind w:right="-284"/>
        <w:rPr>
          <w:rtl/>
        </w:rPr>
      </w:pPr>
    </w:p>
    <w:p>
      <w:pPr>
        <w:widowControl w:val="0"/>
        <w:numPr>
          <w:ilvl w:val="1"/>
          <w:numId w:val="9"/>
        </w:numPr>
        <w:spacing w:line="300" w:lineRule="atLeast"/>
        <w:ind w:right="-284"/>
        <w:textAlignment w:val="auto"/>
      </w:pPr>
      <w:r>
        <w:rPr>
          <w:rtl/>
        </w:rPr>
        <w:t>למען הסר ספק, כל זכויות הקניין הרוחני במידע שיימסר בידי המשרד לספק במסגרת ביצוע הסכם זה, שמורות למשרד במלואן והן בבעלותו הבלעדית.</w:t>
      </w:r>
    </w:p>
    <w:p>
      <w:pPr>
        <w:widowControl w:val="0"/>
        <w:spacing w:line="300" w:lineRule="atLeast"/>
        <w:ind w:right="-284"/>
        <w:rPr>
          <w:rtl/>
        </w:rPr>
      </w:pPr>
    </w:p>
    <w:p>
      <w:pPr>
        <w:widowControl w:val="0"/>
        <w:numPr>
          <w:ilvl w:val="1"/>
          <w:numId w:val="9"/>
        </w:numPr>
        <w:spacing w:line="300" w:lineRule="atLeast"/>
        <w:ind w:right="-284"/>
        <w:textAlignment w:val="auto"/>
      </w:pPr>
      <w:r>
        <w:rPr>
          <w:rtl/>
        </w:rPr>
        <w:t>הספק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pPr>
        <w:widowControl w:val="0"/>
        <w:spacing w:line="300" w:lineRule="atLeast"/>
        <w:ind w:right="-284"/>
        <w:rPr>
          <w:rtl/>
        </w:rPr>
      </w:pPr>
    </w:p>
    <w:p>
      <w:pPr>
        <w:widowControl w:val="0"/>
        <w:numPr>
          <w:ilvl w:val="1"/>
          <w:numId w:val="9"/>
        </w:numPr>
        <w:spacing w:line="300" w:lineRule="atLeast"/>
        <w:ind w:right="-284"/>
        <w:textAlignment w:val="auto"/>
      </w:pPr>
      <w:r>
        <w:rPr>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הפרוייקט, לידי ה</w:t>
      </w:r>
      <w:r>
        <w:rPr>
          <w:rFonts w:hint="eastAsia"/>
          <w:rtl/>
        </w:rPr>
        <w:t>משרד</w:t>
      </w:r>
      <w:r>
        <w:rPr>
          <w:rtl/>
        </w:rPr>
        <w:t>.</w:t>
      </w:r>
    </w:p>
    <w:p>
      <w:pPr>
        <w:widowControl w:val="0"/>
        <w:spacing w:line="300" w:lineRule="atLeast"/>
        <w:ind w:right="-284"/>
      </w:pPr>
    </w:p>
    <w:p>
      <w:pPr>
        <w:widowControl w:val="0"/>
        <w:numPr>
          <w:ilvl w:val="1"/>
          <w:numId w:val="9"/>
        </w:numPr>
        <w:spacing w:line="300" w:lineRule="atLeast"/>
        <w:ind w:right="-284"/>
        <w:textAlignment w:val="auto"/>
        <w:rPr>
          <w:rtl/>
        </w:rPr>
      </w:pPr>
      <w:r>
        <w:rPr>
          <w:rtl/>
        </w:rPr>
        <w:t>הספק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pPr>
        <w:widowControl w:val="0"/>
        <w:numPr>
          <w:ilvl w:val="0"/>
          <w:numId w:val="9"/>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pPr>
        <w:widowControl w:val="0"/>
        <w:spacing w:line="300" w:lineRule="atLeast"/>
        <w:ind w:left="720"/>
        <w:rPr>
          <w:szCs w:val="20"/>
          <w:rtl/>
          <w:lang w:eastAsia="en-US"/>
        </w:rPr>
      </w:pPr>
    </w:p>
    <w:p>
      <w:pPr>
        <w:widowControl w:val="0"/>
        <w:numPr>
          <w:ilvl w:val="1"/>
          <w:numId w:val="9"/>
        </w:numPr>
        <w:spacing w:line="300" w:lineRule="atLeast"/>
        <w:textAlignment w:val="auto"/>
        <w:rPr>
          <w:rtl/>
          <w:lang w:eastAsia="en-US"/>
        </w:rPr>
      </w:pPr>
      <w:r>
        <w:rPr>
          <w:rFonts w:hint="cs"/>
          <w:rtl/>
          <w:lang w:eastAsia="en-US"/>
        </w:rPr>
        <w:t>הספק מתחייב לשמור בסוד ידיעות ומידע שיגיעו אליו עקב ביצוע מכרז זה.</w:t>
      </w:r>
    </w:p>
    <w:p>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pPr>
        <w:widowControl w:val="0"/>
        <w:spacing w:line="300" w:lineRule="atLeast"/>
        <w:ind w:left="1440" w:hanging="720"/>
        <w:rPr>
          <w:rtl/>
          <w:lang w:eastAsia="en-US"/>
        </w:rPr>
      </w:pPr>
    </w:p>
    <w:p>
      <w:pPr>
        <w:widowControl w:val="0"/>
        <w:numPr>
          <w:ilvl w:val="1"/>
          <w:numId w:val="9"/>
        </w:numPr>
        <w:spacing w:line="300" w:lineRule="atLeast"/>
        <w:textAlignment w:val="auto"/>
        <w:rPr>
          <w:rFonts w:ascii="David" w:hAnsi="David"/>
          <w:rtl/>
          <w:lang w:eastAsia="en-US"/>
        </w:rPr>
      </w:pPr>
      <w:r>
        <w:rPr>
          <w:rFonts w:hint="cs"/>
          <w:rtl/>
          <w:lang w:eastAsia="en-US"/>
        </w:rPr>
        <w:t>הספק</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הספק</w:t>
      </w:r>
      <w:r>
        <w:rPr>
          <w:rFonts w:ascii="David" w:hAnsi="David" w:hint="cs"/>
          <w:rtl/>
          <w:lang w:eastAsia="en-US"/>
        </w:rPr>
        <w:t xml:space="preserve"> ידיעה כאמור לאדם שלא יהיה מוסמך לקבלה. לעניין זה, יחולו על </w:t>
      </w:r>
      <w:r>
        <w:rPr>
          <w:rFonts w:hint="cs"/>
          <w:rtl/>
          <w:lang w:eastAsia="en-US"/>
        </w:rPr>
        <w:t>הספק</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הספק</w:t>
      </w:r>
      <w:r>
        <w:rPr>
          <w:rFonts w:ascii="David" w:hAnsi="David" w:hint="cs"/>
          <w:rtl/>
          <w:lang w:eastAsia="en-US"/>
        </w:rPr>
        <w:t xml:space="preserve"> מתחייב להחתים את כל עובדיו והמועסקים על ידיו לצרכי מכרז זה על התחייבות לשמירת סודיות.</w:t>
      </w:r>
    </w:p>
    <w:p>
      <w:pPr>
        <w:widowControl w:val="0"/>
        <w:spacing w:line="300" w:lineRule="atLeast"/>
        <w:ind w:left="1440"/>
        <w:rPr>
          <w:rtl/>
          <w:lang w:eastAsia="en-US"/>
        </w:rPr>
      </w:pPr>
    </w:p>
    <w:p>
      <w:pPr>
        <w:widowControl w:val="0"/>
        <w:numPr>
          <w:ilvl w:val="1"/>
          <w:numId w:val="9"/>
        </w:numPr>
        <w:spacing w:line="300" w:lineRule="atLeast"/>
        <w:textAlignment w:val="auto"/>
        <w:rPr>
          <w:rtl/>
          <w:lang w:eastAsia="en-US"/>
        </w:rPr>
      </w:pPr>
      <w:r>
        <w:rPr>
          <w:rFonts w:hint="cs"/>
          <w:rtl/>
          <w:lang w:eastAsia="en-US"/>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pPr>
        <w:widowControl w:val="0"/>
        <w:spacing w:line="300" w:lineRule="atLeast"/>
        <w:ind w:left="709"/>
        <w:textAlignment w:val="auto"/>
        <w:rPr>
          <w:lang w:eastAsia="en-US"/>
        </w:rPr>
      </w:pPr>
    </w:p>
    <w:p>
      <w:pPr>
        <w:widowControl w:val="0"/>
        <w:numPr>
          <w:ilvl w:val="1"/>
          <w:numId w:val="9"/>
        </w:numPr>
        <w:spacing w:line="300" w:lineRule="atLeast"/>
        <w:textAlignment w:val="auto"/>
        <w:rPr>
          <w:rtl/>
          <w:lang w:eastAsia="en-US"/>
        </w:rPr>
      </w:pPr>
      <w:r>
        <w:rPr>
          <w:rFonts w:hint="cs"/>
          <w:rtl/>
          <w:lang w:eastAsia="en-US"/>
        </w:rPr>
        <w:t xml:space="preserve">הספק יעסיק רק עובדים העונים על ההנחיות  לשמירת סודיות שיוגדרו ע"י המשרד. </w:t>
      </w:r>
    </w:p>
    <w:p>
      <w:pPr>
        <w:widowControl w:val="0"/>
        <w:spacing w:line="300" w:lineRule="atLeast"/>
        <w:ind w:left="1440" w:hanging="720"/>
        <w:rPr>
          <w:rtl/>
          <w:lang w:eastAsia="en-US"/>
        </w:rPr>
      </w:pPr>
    </w:p>
    <w:p>
      <w:pPr>
        <w:widowControl w:val="0"/>
        <w:numPr>
          <w:ilvl w:val="1"/>
          <w:numId w:val="9"/>
        </w:numPr>
        <w:spacing w:line="300" w:lineRule="atLeast"/>
        <w:textAlignment w:val="auto"/>
        <w:rPr>
          <w:rtl/>
          <w:lang w:eastAsia="en-US"/>
        </w:rPr>
      </w:pPr>
      <w:r>
        <w:rPr>
          <w:rFonts w:hint="cs"/>
          <w:rtl/>
          <w:lang w:eastAsia="en-US"/>
        </w:rPr>
        <w:t xml:space="preserve">הספק לא ימסור ידיעה או מידע לאדם שלא יהיה מוסמך לקבלה ללא הרשאה מהמשרד. </w:t>
      </w:r>
    </w:p>
    <w:p>
      <w:pPr>
        <w:widowControl w:val="0"/>
        <w:spacing w:line="300" w:lineRule="atLeast"/>
        <w:ind w:left="1440" w:hanging="720"/>
        <w:rPr>
          <w:rtl/>
          <w:lang w:eastAsia="en-US"/>
        </w:rPr>
      </w:pPr>
    </w:p>
    <w:p>
      <w:pPr>
        <w:widowControl w:val="0"/>
        <w:numPr>
          <w:ilvl w:val="1"/>
          <w:numId w:val="9"/>
        </w:numPr>
        <w:spacing w:line="300" w:lineRule="atLeast"/>
        <w:textAlignment w:val="auto"/>
        <w:rPr>
          <w:rtl/>
          <w:lang w:eastAsia="en-US"/>
        </w:rPr>
      </w:pPr>
      <w:r>
        <w:rPr>
          <w:rFonts w:hint="cs"/>
          <w:rtl/>
          <w:lang w:eastAsia="en-US"/>
        </w:rPr>
        <w:t>הספק יחתום על הצהרה למחויבות שמירת סודיות וכן יחתים את כל עובדיו והמועסקים על ידו לצורך מכרז זה, על התחייבות לשמור סודיות.</w:t>
      </w:r>
    </w:p>
    <w:p>
      <w:pPr>
        <w:widowControl w:val="0"/>
        <w:spacing w:line="300" w:lineRule="atLeast"/>
        <w:ind w:left="1440" w:hanging="720"/>
        <w:rPr>
          <w:rtl/>
          <w:lang w:eastAsia="en-US"/>
        </w:rPr>
      </w:pPr>
    </w:p>
    <w:p>
      <w:pPr>
        <w:widowControl w:val="0"/>
        <w:numPr>
          <w:ilvl w:val="1"/>
          <w:numId w:val="9"/>
        </w:numPr>
        <w:spacing w:line="300" w:lineRule="atLeast"/>
        <w:textAlignment w:val="auto"/>
        <w:rPr>
          <w:rtl/>
          <w:lang w:eastAsia="en-US"/>
        </w:rPr>
      </w:pPr>
      <w:r>
        <w:rPr>
          <w:rFonts w:hint="cs"/>
          <w:rtl/>
          <w:lang w:eastAsia="en-US"/>
        </w:rPr>
        <w:t>הספק יחזיר למשרד כל חומר שימסר לו בהקשר לפעילות זו בכל עת שידרש לכך.</w:t>
      </w:r>
    </w:p>
    <w:p>
      <w:pPr>
        <w:widowControl w:val="0"/>
        <w:spacing w:line="300" w:lineRule="atLeast"/>
        <w:ind w:left="1440" w:hanging="720"/>
        <w:rPr>
          <w:rtl/>
          <w:lang w:eastAsia="en-US"/>
        </w:rPr>
      </w:pPr>
    </w:p>
    <w:p>
      <w:pPr>
        <w:widowControl w:val="0"/>
        <w:numPr>
          <w:ilvl w:val="1"/>
          <w:numId w:val="9"/>
        </w:numPr>
        <w:spacing w:line="300" w:lineRule="atLeast"/>
        <w:textAlignment w:val="auto"/>
        <w:rPr>
          <w:rtl/>
          <w:lang w:eastAsia="en-US"/>
        </w:rPr>
      </w:pPr>
      <w:r>
        <w:rPr>
          <w:rFonts w:hint="cs"/>
          <w:rtl/>
          <w:lang w:eastAsia="en-US"/>
        </w:rPr>
        <w:t>על פי דרישת המזמין יציג הספק למשרד אמצעי האבטחה שנקט לאבטחת הנתונים ו/או המידע המצויים ברשותו במסגרת מכרז זה. הספק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pPr>
        <w:widowControl w:val="0"/>
        <w:spacing w:line="300" w:lineRule="atLeast"/>
        <w:ind w:left="720"/>
        <w:rPr>
          <w:rtl/>
          <w:lang w:eastAsia="en-US"/>
        </w:rPr>
      </w:pPr>
    </w:p>
    <w:p>
      <w:pPr>
        <w:widowControl w:val="0"/>
        <w:spacing w:line="300" w:lineRule="atLeast"/>
        <w:ind w:left="1418" w:right="-142"/>
        <w:rPr>
          <w:rtl/>
          <w:lang w:eastAsia="en-US"/>
        </w:rPr>
      </w:pPr>
    </w:p>
    <w:p>
      <w:pPr>
        <w:widowControl w:val="0"/>
        <w:numPr>
          <w:ilvl w:val="0"/>
          <w:numId w:val="9"/>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pPr>
        <w:widowControl w:val="0"/>
        <w:spacing w:line="300" w:lineRule="atLeast"/>
        <w:ind w:left="1418" w:right="-142"/>
        <w:rPr>
          <w:rtl/>
        </w:rPr>
      </w:pPr>
    </w:p>
    <w:p>
      <w:pPr>
        <w:widowControl w:val="0"/>
        <w:numPr>
          <w:ilvl w:val="1"/>
          <w:numId w:val="9"/>
        </w:numPr>
      </w:pPr>
      <w:r>
        <w:rPr>
          <w:rFonts w:hint="cs"/>
          <w:rtl/>
        </w:rPr>
        <w:t>הדרישות לאבטחת מידע מופיעות בנספח 4 למכרז זה.</w:t>
      </w:r>
    </w:p>
    <w:p>
      <w:pPr>
        <w:widowControl w:val="0"/>
        <w:numPr>
          <w:ilvl w:val="1"/>
          <w:numId w:val="9"/>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pPr>
        <w:widowControl w:val="0"/>
        <w:numPr>
          <w:ilvl w:val="1"/>
          <w:numId w:val="9"/>
        </w:numPr>
      </w:pPr>
      <w:r>
        <w:rPr>
          <w:rtl/>
        </w:rPr>
        <w:t>אישור</w:t>
      </w:r>
      <w:r>
        <w:rPr>
          <w:rFonts w:hint="cs"/>
          <w:rtl/>
        </w:rPr>
        <w:t xml:space="preserve"> עמידת המציע בדרישות פרק אבטחת מידע וסייבר הינה תנאי לחתימת חוזה.</w:t>
      </w: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pPr>
    </w:p>
    <w:p>
      <w:pPr>
        <w:widowControl w:val="0"/>
        <w:numPr>
          <w:ilvl w:val="0"/>
          <w:numId w:val="9"/>
        </w:numPr>
        <w:spacing w:line="300" w:lineRule="atLeast"/>
        <w:textAlignment w:val="auto"/>
        <w:outlineLvl w:val="0"/>
        <w:rPr>
          <w:sz w:val="28"/>
          <w:szCs w:val="28"/>
          <w:rtl/>
          <w:lang w:eastAsia="en-US"/>
        </w:rPr>
      </w:pPr>
      <w:r>
        <w:rPr>
          <w:rFonts w:hint="cs"/>
          <w:b/>
          <w:bCs/>
          <w:sz w:val="28"/>
          <w:szCs w:val="28"/>
          <w:u w:val="single"/>
          <w:rtl/>
          <w:lang w:eastAsia="en-US"/>
        </w:rPr>
        <w:lastRenderedPageBreak/>
        <w:t>אחריות משפטית</w:t>
      </w:r>
    </w:p>
    <w:p>
      <w:pPr>
        <w:widowControl w:val="0"/>
        <w:spacing w:line="300" w:lineRule="atLeast"/>
        <w:ind w:firstLine="720"/>
        <w:rPr>
          <w:rtl/>
          <w:lang w:eastAsia="en-US"/>
        </w:rPr>
      </w:pPr>
    </w:p>
    <w:p>
      <w:pPr>
        <w:widowControl w:val="0"/>
        <w:numPr>
          <w:ilvl w:val="1"/>
          <w:numId w:val="9"/>
        </w:numPr>
        <w:spacing w:line="300" w:lineRule="atLeast"/>
        <w:textAlignment w:val="auto"/>
        <w:rPr>
          <w:rtl/>
          <w:lang w:eastAsia="en-US"/>
        </w:rPr>
      </w:pPr>
      <w:r>
        <w:rPr>
          <w:rFonts w:hint="cs"/>
          <w:rtl/>
          <w:lang w:eastAsia="en-US"/>
        </w:rPr>
        <w:t xml:space="preserve">הספק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tabs>
          <w:tab w:val="left" w:pos="2164"/>
        </w:tabs>
        <w:spacing w:line="300" w:lineRule="atLeast"/>
        <w:rPr>
          <w:rtl/>
          <w:lang w:eastAsia="en-US"/>
        </w:rPr>
      </w:pPr>
    </w:p>
    <w:p>
      <w:pPr>
        <w:widowControl w:val="0"/>
        <w:numPr>
          <w:ilvl w:val="1"/>
          <w:numId w:val="9"/>
        </w:numPr>
        <w:spacing w:line="300" w:lineRule="atLeast"/>
        <w:textAlignment w:val="auto"/>
        <w:rPr>
          <w:rtl/>
          <w:lang w:eastAsia="en-US"/>
        </w:rPr>
      </w:pPr>
      <w:r>
        <w:rPr>
          <w:rFonts w:hint="cs"/>
          <w:rtl/>
          <w:lang w:eastAsia="en-US"/>
        </w:rPr>
        <w:t xml:space="preserve">הספק פוטר את המדינה מאחריות לכל תביעה אשר עלולה להיות מוגשת נגדה עקב העסקת עובדיו בפרוייקט. הספק מתחייב לשפות ו/או לפצות את המדינה בגין כל סכום שתחויב בו ובגין כל הוצאה שתיגרם לה עקב תביעה כאמור. </w:t>
      </w:r>
    </w:p>
    <w:p>
      <w:pPr>
        <w:widowControl w:val="0"/>
        <w:tabs>
          <w:tab w:val="left" w:pos="2164"/>
        </w:tabs>
        <w:spacing w:line="300" w:lineRule="atLeast"/>
        <w:rPr>
          <w:rtl/>
          <w:lang w:eastAsia="en-US"/>
        </w:rPr>
      </w:pPr>
    </w:p>
    <w:p>
      <w:pPr>
        <w:widowControl w:val="0"/>
        <w:numPr>
          <w:ilvl w:val="1"/>
          <w:numId w:val="9"/>
        </w:numPr>
        <w:spacing w:line="300" w:lineRule="atLeast"/>
        <w:textAlignment w:val="auto"/>
        <w:rPr>
          <w:lang w:eastAsia="en-US"/>
        </w:rPr>
      </w:pPr>
      <w:r>
        <w:rPr>
          <w:rFonts w:hint="cs"/>
          <w:rtl/>
          <w:lang w:eastAsia="en-US"/>
        </w:rPr>
        <w:t xml:space="preserve">הספק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spacing w:line="300" w:lineRule="atLeast"/>
        <w:textAlignment w:val="auto"/>
        <w:rPr>
          <w:rtl/>
          <w:lang w:eastAsia="en-US"/>
        </w:rPr>
      </w:pPr>
    </w:p>
    <w:p>
      <w:pPr>
        <w:widowControl w:val="0"/>
        <w:numPr>
          <w:ilvl w:val="1"/>
          <w:numId w:val="9"/>
        </w:numPr>
        <w:spacing w:line="300" w:lineRule="atLeast"/>
        <w:textAlignment w:val="auto"/>
        <w:rPr>
          <w:lang w:eastAsia="en-US"/>
        </w:rPr>
      </w:pPr>
      <w:r>
        <w:rPr>
          <w:rFonts w:hint="cs"/>
          <w:rtl/>
          <w:lang w:eastAsia="en-US"/>
        </w:rPr>
        <w:t xml:space="preserve">אם אי פעם יקבע כדין מסיבה כלשהי כי העסקת הספק או מי מעובדיו דינה כהעסקת עובד ע"י המדינה: </w:t>
      </w:r>
    </w:p>
    <w:p>
      <w:pPr>
        <w:widowControl w:val="0"/>
        <w:spacing w:line="300" w:lineRule="atLeast"/>
        <w:rPr>
          <w:rtl/>
          <w:lang w:eastAsia="en-US"/>
        </w:rPr>
      </w:pPr>
    </w:p>
    <w:p>
      <w:pPr>
        <w:widowControl w:val="0"/>
        <w:numPr>
          <w:ilvl w:val="2"/>
          <w:numId w:val="9"/>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לספק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line="300" w:lineRule="atLeast"/>
        <w:ind w:left="2834"/>
        <w:rPr>
          <w:rtl/>
          <w:lang w:eastAsia="en-US"/>
        </w:rPr>
      </w:pPr>
    </w:p>
    <w:p>
      <w:pPr>
        <w:widowControl w:val="0"/>
        <w:spacing w:line="300" w:lineRule="atLeast"/>
        <w:ind w:left="2268"/>
        <w:rPr>
          <w:rtl/>
          <w:lang w:eastAsia="en-US"/>
        </w:rPr>
      </w:pPr>
      <w:r>
        <w:rPr>
          <w:rFonts w:hint="cs"/>
          <w:rtl/>
          <w:lang w:eastAsia="en-US"/>
        </w:rPr>
        <w:t>הספק יהיה מנוע מלטעון כי מגיעים לו סכומים נוספים כלשהם בכל עילה שהיא בגין העסקתו עפ"י חוזה זה.</w:t>
      </w:r>
    </w:p>
    <w:p>
      <w:pPr>
        <w:widowControl w:val="0"/>
        <w:spacing w:line="300" w:lineRule="atLeast"/>
        <w:ind w:left="2834"/>
        <w:rPr>
          <w:rtl/>
          <w:lang w:eastAsia="en-US"/>
        </w:rPr>
      </w:pPr>
    </w:p>
    <w:p>
      <w:pPr>
        <w:widowControl w:val="0"/>
        <w:numPr>
          <w:ilvl w:val="2"/>
          <w:numId w:val="9"/>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לספק לפי חוזה זה גם כל פיצויי הפיטורין גם חתימת הספק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spacing w:line="300" w:lineRule="atLeast"/>
        <w:ind w:left="2268" w:right="2340"/>
        <w:rPr>
          <w:lang w:eastAsia="en-US"/>
        </w:rPr>
      </w:pPr>
    </w:p>
    <w:p>
      <w:pPr>
        <w:widowControl w:val="0"/>
        <w:numPr>
          <w:ilvl w:val="2"/>
          <w:numId w:val="9"/>
        </w:numPr>
        <w:spacing w:line="300" w:lineRule="atLeast"/>
        <w:textAlignment w:val="auto"/>
        <w:rPr>
          <w:rtl/>
          <w:lang w:eastAsia="en-US"/>
        </w:rPr>
      </w:pPr>
      <w:r>
        <w:rPr>
          <w:rFonts w:hint="cs"/>
          <w:rtl/>
          <w:lang w:eastAsia="en-US"/>
        </w:rPr>
        <w:t>יחושב שכרו של ספק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spacing w:line="300" w:lineRule="atLeast"/>
        <w:ind w:left="720" w:hanging="720"/>
        <w:rPr>
          <w:rtl/>
          <w:lang w:eastAsia="en-US"/>
        </w:rPr>
      </w:pPr>
    </w:p>
    <w:p>
      <w:pPr>
        <w:widowControl w:val="0"/>
        <w:numPr>
          <w:ilvl w:val="1"/>
          <w:numId w:val="9"/>
        </w:numPr>
        <w:spacing w:line="300" w:lineRule="atLeast"/>
        <w:textAlignment w:val="auto"/>
        <w:rPr>
          <w:lang w:eastAsia="en-US"/>
        </w:rPr>
      </w:pPr>
      <w:r>
        <w:rPr>
          <w:rFonts w:hint="cs"/>
          <w:rtl/>
          <w:lang w:eastAsia="en-US"/>
        </w:rPr>
        <w:t>ידוע לספק כי עליו לבטח את עצמו ואת עובדיו בביטוח לאומי לבדו ועל חשבונו.</w:t>
      </w:r>
    </w:p>
    <w:p>
      <w:pPr>
        <w:widowControl w:val="0"/>
        <w:spacing w:line="300" w:lineRule="atLeast"/>
        <w:ind w:left="720" w:hanging="720"/>
        <w:rPr>
          <w:rtl/>
          <w:lang w:eastAsia="en-US"/>
        </w:rPr>
      </w:pPr>
    </w:p>
    <w:p>
      <w:pPr>
        <w:widowControl w:val="0"/>
        <w:numPr>
          <w:ilvl w:val="1"/>
          <w:numId w:val="9"/>
        </w:numPr>
        <w:spacing w:after="140" w:line="300" w:lineRule="atLeast"/>
        <w:textAlignment w:val="auto"/>
        <w:rPr>
          <w:lang w:eastAsia="en-US"/>
        </w:rPr>
      </w:pPr>
      <w:r>
        <w:rPr>
          <w:rtl/>
          <w:lang w:eastAsia="en-US"/>
        </w:rPr>
        <w:t>הספק מקבל על עצמו את האחריות לכל נזק או אובדן שיגרמו לגופו ו/או לרכושו של כל אדם אחר, לרבות לעובדי הספק והמועסקים על ידו בביצוע חוזה זה או לכל נזק כלכלי/פיננסי טהור, עקב מעשה או מחדל של הספק, עובדיו, שליחיו או כל מי שבא מכוחו ו/או מטעמו תוך כדי ביצוע חוזה זה.</w:t>
      </w:r>
    </w:p>
    <w:p>
      <w:pPr>
        <w:widowControl w:val="0"/>
        <w:spacing w:after="140" w:line="300" w:lineRule="atLeast"/>
        <w:ind w:left="1418"/>
        <w:textAlignment w:val="auto"/>
        <w:rPr>
          <w:lang w:eastAsia="en-US"/>
        </w:rPr>
      </w:pPr>
      <w:r>
        <w:rPr>
          <w:rtl/>
          <w:lang w:eastAsia="en-US"/>
        </w:rPr>
        <w:t>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pPr>
        <w:widowControl w:val="0"/>
        <w:spacing w:line="300" w:lineRule="atLeast"/>
        <w:ind w:left="1440"/>
        <w:rPr>
          <w:lang w:eastAsia="en-US"/>
        </w:rPr>
      </w:pPr>
      <w:r>
        <w:rPr>
          <w:rtl/>
          <w:lang w:eastAsia="en-US"/>
        </w:rPr>
        <w:t>במקרים שבהם המשרד נתבע בחוב שנובע מהתנהלות של הספק המשרד יודיע לספק על התביעה בכדי לאפשר לו להתגונן. אין במתן ההודעה על ידי המשרד בכדי לפטור את הספק מהחובה לשפות את המדינה.</w:t>
      </w:r>
    </w:p>
    <w:p>
      <w:pPr>
        <w:widowControl w:val="0"/>
        <w:numPr>
          <w:ilvl w:val="0"/>
          <w:numId w:val="9"/>
        </w:numPr>
        <w:spacing w:line="300" w:lineRule="atLeast"/>
        <w:textAlignment w:val="auto"/>
        <w:rPr>
          <w:b/>
          <w:bCs/>
          <w:sz w:val="28"/>
          <w:szCs w:val="28"/>
          <w:u w:val="single"/>
          <w:rtl/>
          <w:lang w:eastAsia="en-US"/>
        </w:rPr>
      </w:pPr>
      <w:r>
        <w:rPr>
          <w:b/>
          <w:bCs/>
          <w:sz w:val="28"/>
          <w:szCs w:val="28"/>
          <w:u w:val="single"/>
          <w:rtl/>
          <w:lang w:eastAsia="en-US"/>
        </w:rPr>
        <w:br w:type="page"/>
      </w:r>
      <w:r>
        <w:rPr>
          <w:rFonts w:hint="cs"/>
          <w:b/>
          <w:bCs/>
          <w:sz w:val="28"/>
          <w:szCs w:val="28"/>
          <w:u w:val="single"/>
          <w:rtl/>
          <w:lang w:eastAsia="en-US"/>
        </w:rPr>
        <w:lastRenderedPageBreak/>
        <w:t>ביטוח</w:t>
      </w:r>
    </w:p>
    <w:p>
      <w:pPr>
        <w:widowControl w:val="0"/>
        <w:spacing w:line="300" w:lineRule="atLeast"/>
        <w:rPr>
          <w:b/>
          <w:bCs/>
          <w:sz w:val="28"/>
          <w:szCs w:val="28"/>
          <w:u w:val="single"/>
          <w:rtl/>
        </w:rPr>
      </w:pPr>
    </w:p>
    <w:p>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יהיו בהתאם למפורט בסעיף 13 בחוזה התקשרות בנספח 2. </w:t>
      </w:r>
    </w:p>
    <w:p>
      <w:pPr>
        <w:widowControl w:val="0"/>
        <w:spacing w:line="300" w:lineRule="atLeast"/>
        <w:ind w:left="709"/>
        <w:rPr>
          <w:b/>
          <w:bCs/>
          <w:sz w:val="28"/>
          <w:szCs w:val="28"/>
          <w:u w:val="single"/>
          <w:rtl/>
        </w:rPr>
      </w:pPr>
    </w:p>
    <w:p>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תנאי תשלום</w:t>
      </w:r>
    </w:p>
    <w:p>
      <w:pPr>
        <w:widowControl w:val="0"/>
        <w:spacing w:line="300" w:lineRule="atLeast"/>
        <w:rPr>
          <w:rtl/>
          <w:lang w:eastAsia="en-US"/>
        </w:rPr>
      </w:pPr>
    </w:p>
    <w:p>
      <w:pPr>
        <w:widowControl w:val="0"/>
        <w:numPr>
          <w:ilvl w:val="1"/>
          <w:numId w:val="9"/>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pPr>
        <w:widowControl w:val="0"/>
        <w:spacing w:line="300" w:lineRule="atLeast"/>
        <w:ind w:left="1418"/>
      </w:pPr>
    </w:p>
    <w:p>
      <w:pPr>
        <w:widowControl w:val="0"/>
        <w:numPr>
          <w:ilvl w:val="1"/>
          <w:numId w:val="9"/>
        </w:numPr>
        <w:spacing w:line="300" w:lineRule="atLeast"/>
      </w:pPr>
      <w:r>
        <w:rPr>
          <w:rtl/>
        </w:rPr>
        <w:t>יודגש, הזוכה יישא בכלל העלויות הכרוכות בהתחברות לפורטל הספקים הממשלתי.</w:t>
      </w:r>
    </w:p>
    <w:p>
      <w:pPr>
        <w:widowControl w:val="0"/>
        <w:spacing w:line="300" w:lineRule="atLeast"/>
        <w:ind w:left="1418"/>
        <w:rPr>
          <w:lang w:eastAsia="en-US"/>
        </w:rPr>
      </w:pPr>
    </w:p>
    <w:p>
      <w:pPr>
        <w:widowControl w:val="0"/>
        <w:numPr>
          <w:ilvl w:val="1"/>
          <w:numId w:val="9"/>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Pr>
          <w:rFonts w:hint="cs"/>
          <w:b/>
          <w:bCs/>
          <w:rtl/>
          <w:lang w:eastAsia="en-US"/>
        </w:rPr>
        <w:t>15.10</w:t>
      </w:r>
      <w:r>
        <w:rPr>
          <w:rFonts w:hint="cs"/>
          <w:rtl/>
          <w:lang w:eastAsia="en-US"/>
        </w:rPr>
        <w:t xml:space="preserve"> שלהלן.</w:t>
      </w:r>
    </w:p>
    <w:p>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pPr>
        <w:widowControl w:val="0"/>
        <w:spacing w:line="300" w:lineRule="atLeast"/>
        <w:ind w:left="1417"/>
        <w:rPr>
          <w:b/>
          <w:bCs/>
          <w:rtl/>
        </w:rPr>
      </w:pPr>
    </w:p>
    <w:p>
      <w:pPr>
        <w:widowControl w:val="0"/>
        <w:spacing w:line="300" w:lineRule="atLeast"/>
        <w:ind w:left="1417"/>
        <w:rPr>
          <w:b/>
          <w:bCs/>
          <w:rtl/>
        </w:rPr>
      </w:pPr>
      <w:r>
        <w:rPr>
          <w:b/>
          <w:bCs/>
          <w:rtl/>
        </w:rPr>
        <w:t xml:space="preserve">ככל שתחול על </w:t>
      </w:r>
      <w:r>
        <w:rPr>
          <w:rFonts w:hint="cs"/>
          <w:b/>
          <w:bCs/>
          <w:rtl/>
        </w:rPr>
        <w:t>הספק</w:t>
      </w:r>
      <w:r>
        <w:rPr>
          <w:b/>
          <w:bCs/>
          <w:rtl/>
        </w:rPr>
        <w:t xml:space="preserve"> חובת תשלום מע"מ,  כל שינוי עתידי בגובה המע"מ ישנה את גובה התמורה שתשולם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pPr>
        <w:widowControl w:val="0"/>
        <w:spacing w:line="300" w:lineRule="atLeast"/>
        <w:rPr>
          <w:rtl/>
          <w:lang w:eastAsia="en-US"/>
        </w:rPr>
      </w:pPr>
    </w:p>
    <w:p>
      <w:pPr>
        <w:pStyle w:val="32"/>
        <w:widowControl w:val="0"/>
        <w:numPr>
          <w:ilvl w:val="1"/>
          <w:numId w:val="9"/>
        </w:numPr>
        <w:rPr>
          <w:rFonts w:ascii="Arial" w:hAnsi="Arial"/>
          <w:lang w:eastAsia="en-US"/>
        </w:rPr>
      </w:pPr>
      <w:bookmarkStart w:id="27" w:name="_Hlk165451966"/>
      <w:r>
        <w:rPr>
          <w:rFonts w:ascii="Arial" w:hAnsi="Arial" w:hint="cs"/>
          <w:rtl/>
          <w:lang w:eastAsia="en-US"/>
        </w:rPr>
        <w:t>אגף</w:t>
      </w:r>
      <w:r>
        <w:rPr>
          <w:rFonts w:ascii="Arial" w:hAnsi="Arial"/>
          <w:rtl/>
          <w:lang w:eastAsia="en-US"/>
        </w:rPr>
        <w:t xml:space="preserve"> הכספים במשרד ישלם לספק</w:t>
      </w:r>
      <w:r>
        <w:rPr>
          <w:rFonts w:ascii="Arial" w:hAnsi="Arial" w:hint="cs"/>
          <w:rtl/>
          <w:lang w:eastAsia="en-US"/>
        </w:rPr>
        <w:t xml:space="preserve"> </w:t>
      </w:r>
      <w:bookmarkStart w:id="28" w:name="_Hlk165451799"/>
      <w:r>
        <w:rPr>
          <w:rFonts w:ascii="Arial" w:hAnsi="Arial" w:hint="cs"/>
          <w:rtl/>
          <w:lang w:eastAsia="en-US"/>
        </w:rPr>
        <w:t xml:space="preserve">עפ"י הוראת התכ"ם </w:t>
      </w:r>
      <w:r>
        <w:rPr>
          <w:rFonts w:ascii="Arial" w:hAnsi="Arial" w:hint="cs"/>
          <w:b/>
          <w:bCs/>
          <w:rtl/>
          <w:lang w:eastAsia="en-US"/>
        </w:rPr>
        <w:t xml:space="preserve">1.4.3 </w:t>
      </w:r>
      <w:bookmarkEnd w:id="27"/>
      <w:bookmarkEnd w:id="28"/>
      <w:r>
        <w:rPr>
          <w:rFonts w:ascii="Arial" w:hAnsi="Arial" w:hint="cs"/>
          <w:b/>
          <w:bCs/>
          <w:rtl/>
          <w:lang w:eastAsia="en-US"/>
        </w:rPr>
        <w:t>(נכון ליום פרסום המכרז ההוראה בתוקף 09.05.2021)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pPr>
        <w:pStyle w:val="32"/>
        <w:widowControl w:val="0"/>
        <w:ind w:left="709"/>
        <w:rPr>
          <w:rtl/>
          <w:lang w:eastAsia="en-US"/>
        </w:rPr>
      </w:pPr>
    </w:p>
    <w:p>
      <w:pPr>
        <w:pStyle w:val="32"/>
        <w:widowControl w:val="0"/>
        <w:numPr>
          <w:ilvl w:val="1"/>
          <w:numId w:val="9"/>
        </w:numPr>
        <w:rPr>
          <w:rtl/>
          <w:lang w:eastAsia="en-US"/>
        </w:rPr>
      </w:pPr>
      <w:r>
        <w:rPr>
          <w:rFonts w:hint="cs"/>
          <w:rtl/>
          <w:lang w:eastAsia="en-US"/>
        </w:rPr>
        <w:t>כדי למנוע עיכובים בתשלום, ידאג הספק שהחשבונית המוגשת על ידו תהיה כתובה באופן ברור וקריא, ותכלול את כל הפריטים הנדרשים כפי שיסוכם עם המזמין.</w:t>
      </w:r>
    </w:p>
    <w:p>
      <w:pPr>
        <w:widowControl w:val="0"/>
        <w:spacing w:line="300" w:lineRule="atLeast"/>
        <w:ind w:left="720"/>
        <w:rPr>
          <w:rtl/>
          <w:lang w:eastAsia="en-US"/>
        </w:rPr>
      </w:pPr>
    </w:p>
    <w:p>
      <w:pPr>
        <w:pStyle w:val="32"/>
        <w:widowControl w:val="0"/>
        <w:numPr>
          <w:ilvl w:val="1"/>
          <w:numId w:val="9"/>
        </w:numPr>
        <w:rPr>
          <w:rtl/>
          <w:lang w:eastAsia="en-US"/>
        </w:rPr>
      </w:pPr>
      <w:r>
        <w:rPr>
          <w:rFonts w:hint="cs"/>
          <w:rtl/>
          <w:lang w:eastAsia="en-US"/>
        </w:rPr>
        <w:t xml:space="preserve">לספק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המשרד.</w:t>
      </w:r>
    </w:p>
    <w:p>
      <w:pPr>
        <w:pStyle w:val="32"/>
        <w:widowControl w:val="0"/>
        <w:ind w:left="709"/>
        <w:rPr>
          <w:lang w:eastAsia="en-US"/>
        </w:rPr>
      </w:pPr>
    </w:p>
    <w:p>
      <w:pPr>
        <w:pStyle w:val="32"/>
        <w:widowControl w:val="0"/>
        <w:numPr>
          <w:ilvl w:val="1"/>
          <w:numId w:val="9"/>
        </w:numPr>
        <w:rPr>
          <w:lang w:eastAsia="en-US"/>
        </w:rPr>
      </w:pPr>
      <w:r>
        <w:rPr>
          <w:rFonts w:hint="cs"/>
          <w:rtl/>
          <w:lang w:eastAsia="en-US"/>
        </w:rPr>
        <w:t>הספק אינו רשאי להתנות תשלום כלשהו לספקיו ו/או לעובדיו או לכל גורם אחר שעליו לשלם, בקבלת תשלומים מהמשרד.</w:t>
      </w:r>
    </w:p>
    <w:p>
      <w:pPr>
        <w:pStyle w:val="aff2"/>
        <w:rPr>
          <w:rtl/>
          <w:lang w:eastAsia="en-US"/>
        </w:rPr>
      </w:pPr>
    </w:p>
    <w:p>
      <w:pPr>
        <w:pStyle w:val="32"/>
        <w:widowControl w:val="0"/>
        <w:numPr>
          <w:ilvl w:val="1"/>
          <w:numId w:val="9"/>
        </w:numPr>
        <w:spacing w:after="140" w:line="240" w:lineRule="auto"/>
        <w:rPr>
          <w:b/>
          <w:bCs/>
        </w:rPr>
      </w:pPr>
      <w:r>
        <w:rPr>
          <w:rFonts w:hint="cs"/>
          <w:b/>
          <w:bCs/>
          <w:u w:val="single"/>
          <w:rtl/>
        </w:rPr>
        <w:t>כללי הצמדה</w:t>
      </w:r>
    </w:p>
    <w:p>
      <w:pPr>
        <w:pStyle w:val="32"/>
        <w:widowControl w:val="0"/>
        <w:spacing w:line="240" w:lineRule="auto"/>
        <w:ind w:left="2268"/>
        <w:rPr>
          <w:b/>
          <w:bCs/>
          <w:u w:val="single"/>
        </w:rPr>
      </w:pPr>
    </w:p>
    <w:p>
      <w:pPr>
        <w:widowControl w:val="0"/>
        <w:spacing w:line="240" w:lineRule="auto"/>
        <w:ind w:left="1418"/>
        <w:rPr>
          <w:rtl/>
        </w:rPr>
      </w:pPr>
      <w:r>
        <w:rPr>
          <w:rFonts w:hint="cs"/>
          <w:rtl/>
        </w:rPr>
        <w:t xml:space="preserve">ההצמדה תהיה על פי הוראת תכ"ם 7.3.2 מהדורה </w:t>
      </w:r>
      <w:r>
        <w:rPr>
          <w:rFonts w:hint="cs"/>
          <w:b/>
          <w:bCs/>
          <w:rtl/>
        </w:rPr>
        <w:t>05</w:t>
      </w:r>
      <w:r>
        <w:rPr>
          <w:rFonts w:hint="cs"/>
          <w:rtl/>
        </w:rPr>
        <w:t xml:space="preserve"> מיום </w:t>
      </w:r>
      <w:r>
        <w:rPr>
          <w:rFonts w:hint="cs"/>
          <w:b/>
          <w:bCs/>
          <w:rtl/>
        </w:rPr>
        <w:t>04.03.2021</w:t>
      </w:r>
      <w:r>
        <w:rPr>
          <w:rFonts w:hint="cs"/>
          <w:rtl/>
        </w:rPr>
        <w:t xml:space="preserve"> :</w:t>
      </w:r>
    </w:p>
    <w:p>
      <w:pPr>
        <w:widowControl w:val="0"/>
        <w:spacing w:line="240" w:lineRule="auto"/>
        <w:ind w:left="1418"/>
        <w:rPr>
          <w:rtl/>
        </w:rPr>
      </w:pPr>
    </w:p>
    <w:p>
      <w:pPr>
        <w:pStyle w:val="32"/>
        <w:widowControl w:val="0"/>
        <w:numPr>
          <w:ilvl w:val="1"/>
          <w:numId w:val="9"/>
        </w:numPr>
        <w:spacing w:after="140" w:line="276" w:lineRule="auto"/>
        <w:rPr>
          <w:rFonts w:ascii="David" w:hAnsi="David"/>
          <w:b/>
          <w:bCs/>
          <w:u w:val="single"/>
          <w:rtl/>
          <w:lang w:eastAsia="en-US"/>
        </w:rPr>
      </w:pPr>
      <w:r>
        <w:rPr>
          <w:rFonts w:ascii="David" w:hAnsi="David"/>
          <w:b/>
          <w:bCs/>
          <w:u w:val="single"/>
          <w:rtl/>
          <w:lang w:eastAsia="en-US"/>
        </w:rPr>
        <w:t>הגדרות בנושא הצמדה</w:t>
      </w:r>
    </w:p>
    <w:p>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הצמדה</w:t>
      </w:r>
      <w:r>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pPr>
        <w:pStyle w:val="32"/>
        <w:widowControl w:val="0"/>
        <w:numPr>
          <w:ilvl w:val="2"/>
          <w:numId w:val="9"/>
        </w:numPr>
        <w:spacing w:after="140" w:line="276" w:lineRule="auto"/>
        <w:rPr>
          <w:rFonts w:ascii="David" w:hAnsi="David"/>
          <w:u w:val="single"/>
          <w:lang w:eastAsia="en-US"/>
        </w:rPr>
      </w:pPr>
      <w:r>
        <w:rPr>
          <w:rFonts w:ascii="David" w:hAnsi="David"/>
          <w:b/>
          <w:bCs/>
          <w:u w:val="single"/>
          <w:rtl/>
          <w:lang w:eastAsia="en-US"/>
        </w:rPr>
        <w:t>תאריך קובע</w:t>
      </w:r>
      <w:r>
        <w:rPr>
          <w:rFonts w:ascii="David" w:hAnsi="David"/>
          <w:rtl/>
          <w:lang w:eastAsia="en-US"/>
        </w:rPr>
        <w:t xml:space="preserve"> – המועד על פיו נקבע המדד הקובע, לצורך תשלום ההצמדה עבור תקופה מוגדרת.</w:t>
      </w:r>
    </w:p>
    <w:p>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תאריך בסיס</w:t>
      </w:r>
      <w:r>
        <w:rPr>
          <w:rFonts w:ascii="David" w:hAnsi="David"/>
          <w:rtl/>
          <w:lang w:eastAsia="en-US"/>
        </w:rPr>
        <w:t xml:space="preserve"> – המועד שממנו ואילך מחושבת ההצמדה, לאורך כל תקופת ההתקשרות.</w:t>
      </w:r>
      <w:r>
        <w:rPr>
          <w:rFonts w:ascii="David" w:hAnsi="David"/>
          <w:lang w:eastAsia="en-US"/>
        </w:rPr>
        <w:t xml:space="preserve"> </w:t>
      </w:r>
    </w:p>
    <w:p>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קובע</w:t>
      </w:r>
      <w:r>
        <w:rPr>
          <w:rFonts w:ascii="David" w:hAnsi="David"/>
          <w:u w:val="single"/>
          <w:rtl/>
          <w:lang w:eastAsia="en-US"/>
        </w:rPr>
        <w:t xml:space="preserve"> </w:t>
      </w:r>
      <w:r>
        <w:rPr>
          <w:rFonts w:ascii="David" w:hAnsi="David"/>
          <w:rtl/>
          <w:lang w:eastAsia="en-US"/>
        </w:rPr>
        <w:t>– ערך המדד בתאריך הקובע, בהתאם לסוג ההצמדה (הצמדה למדד בגין או הצמדה למדד ידוע).</w:t>
      </w:r>
    </w:p>
    <w:p>
      <w:pPr>
        <w:pStyle w:val="32"/>
        <w:widowControl w:val="0"/>
        <w:numPr>
          <w:ilvl w:val="2"/>
          <w:numId w:val="9"/>
        </w:numPr>
        <w:spacing w:after="140" w:line="276" w:lineRule="auto"/>
        <w:rPr>
          <w:rFonts w:ascii="David" w:hAnsi="David"/>
          <w:rtl/>
          <w:lang w:eastAsia="en-US"/>
        </w:rPr>
      </w:pPr>
      <w:r>
        <w:rPr>
          <w:rFonts w:ascii="David" w:hAnsi="David"/>
          <w:b/>
          <w:bCs/>
          <w:u w:val="single"/>
          <w:rtl/>
          <w:lang w:eastAsia="en-US"/>
        </w:rPr>
        <w:lastRenderedPageBreak/>
        <w:t>מדד בסיס</w:t>
      </w:r>
      <w:r>
        <w:rPr>
          <w:rFonts w:ascii="David" w:hAnsi="David"/>
          <w:rtl/>
          <w:lang w:eastAsia="en-US"/>
        </w:rPr>
        <w:t xml:space="preserve"> – ערך המדד בתאריך הבסיס, בהתאם לסוג ההצמדה (הצמדה למדד בגין או הצמדה למדד ידוע).</w:t>
      </w:r>
    </w:p>
    <w:p>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בגין</w:t>
      </w:r>
      <w:r>
        <w:rPr>
          <w:rFonts w:ascii="David" w:hAnsi="David"/>
          <w:rtl/>
          <w:lang w:eastAsia="en-US"/>
        </w:rPr>
        <w:t xml:space="preserve"> – המדד הרשמי שפורסם, בגין החודש שבו חל התאריך הקובע.</w:t>
      </w:r>
    </w:p>
    <w:p>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ידוע</w:t>
      </w:r>
      <w:r>
        <w:rPr>
          <w:rFonts w:ascii="David" w:hAnsi="David"/>
          <w:rtl/>
          <w:lang w:eastAsia="en-US"/>
        </w:rPr>
        <w:t xml:space="preserve"> – המדד האחרון שפורסם באופן רשמי, נכון לתאריך הקובע, גם אם טרם פורסם המדד בגין אותו החודש.</w:t>
      </w:r>
    </w:p>
    <w:p>
      <w:pPr>
        <w:tabs>
          <w:tab w:val="left" w:pos="1371"/>
        </w:tabs>
        <w:overflowPunct/>
        <w:autoSpaceDE/>
        <w:autoSpaceDN/>
        <w:adjustRightInd/>
        <w:spacing w:line="276" w:lineRule="auto"/>
        <w:ind w:left="1304" w:hanging="737"/>
        <w:textAlignment w:val="auto"/>
        <w:rPr>
          <w:rFonts w:ascii="David" w:hAnsi="David"/>
          <w:rtl/>
          <w:lang w:eastAsia="en-US"/>
        </w:rPr>
      </w:pPr>
    </w:p>
    <w:p>
      <w:pPr>
        <w:pStyle w:val="32"/>
        <w:widowControl w:val="0"/>
        <w:numPr>
          <w:ilvl w:val="1"/>
          <w:numId w:val="9"/>
        </w:numPr>
        <w:spacing w:after="140" w:line="276" w:lineRule="auto"/>
        <w:rPr>
          <w:rFonts w:ascii="David" w:hAnsi="David"/>
          <w:b/>
          <w:bCs/>
          <w:u w:val="single"/>
          <w:lang w:eastAsia="en-US"/>
        </w:rPr>
      </w:pPr>
      <w:r>
        <w:rPr>
          <w:rFonts w:ascii="David" w:hAnsi="David"/>
          <w:b/>
          <w:bCs/>
          <w:u w:val="single"/>
          <w:rtl/>
          <w:lang w:eastAsia="en-US"/>
        </w:rPr>
        <w:t>תנאי ההצמדה</w:t>
      </w:r>
    </w:p>
    <w:p>
      <w:pPr>
        <w:pStyle w:val="32"/>
        <w:widowControl w:val="0"/>
        <w:numPr>
          <w:ilvl w:val="2"/>
          <w:numId w:val="9"/>
        </w:numPr>
        <w:spacing w:after="140" w:line="276" w:lineRule="auto"/>
        <w:rPr>
          <w:rFonts w:ascii="David" w:hAnsi="David"/>
          <w:rtl/>
          <w:lang w:eastAsia="en-US"/>
        </w:rPr>
      </w:pPr>
      <w:r>
        <w:rPr>
          <w:rFonts w:ascii="David" w:hAnsi="David"/>
          <w:rtl/>
          <w:lang w:eastAsia="en-US"/>
        </w:rPr>
        <w:t xml:space="preserve">תאריך הבסיס – המועד האחרון להגשת הצעת המחיר הסופית. </w:t>
      </w:r>
    </w:p>
    <w:p>
      <w:pPr>
        <w:pStyle w:val="32"/>
        <w:widowControl w:val="0"/>
        <w:numPr>
          <w:ilvl w:val="2"/>
          <w:numId w:val="9"/>
        </w:numPr>
        <w:spacing w:after="140" w:line="276" w:lineRule="auto"/>
        <w:rPr>
          <w:rFonts w:ascii="David" w:hAnsi="David"/>
          <w:lang w:eastAsia="en-US"/>
        </w:rPr>
      </w:pPr>
      <w:r>
        <w:rPr>
          <w:rFonts w:ascii="David" w:hAnsi="David"/>
          <w:rtl/>
          <w:lang w:eastAsia="en-US"/>
        </w:rPr>
        <w:t xml:space="preserve">התאריך הקובע – תאריך החשבונית. </w:t>
      </w:r>
    </w:p>
    <w:p>
      <w:pPr>
        <w:pStyle w:val="32"/>
        <w:widowControl w:val="0"/>
        <w:numPr>
          <w:ilvl w:val="2"/>
          <w:numId w:val="9"/>
        </w:numPr>
        <w:spacing w:after="140" w:line="276" w:lineRule="auto"/>
        <w:rPr>
          <w:rFonts w:ascii="David" w:hAnsi="David"/>
          <w:lang w:eastAsia="en-US"/>
        </w:rPr>
      </w:pPr>
      <w:r>
        <w:rPr>
          <w:rFonts w:ascii="David" w:hAnsi="David"/>
          <w:rtl/>
          <w:lang w:eastAsia="en-US"/>
        </w:rPr>
        <w:t xml:space="preserve">מדד / שער חליפין – מדד המחירים לצרכן. </w:t>
      </w:r>
    </w:p>
    <w:p>
      <w:pPr>
        <w:pStyle w:val="32"/>
        <w:widowControl w:val="0"/>
        <w:numPr>
          <w:ilvl w:val="2"/>
          <w:numId w:val="9"/>
        </w:numPr>
        <w:spacing w:after="140" w:line="276" w:lineRule="auto"/>
        <w:rPr>
          <w:rFonts w:ascii="David" w:hAnsi="David"/>
          <w:lang w:eastAsia="en-US"/>
        </w:rPr>
      </w:pPr>
      <w:r>
        <w:rPr>
          <w:rFonts w:ascii="David" w:hAnsi="David"/>
          <w:rtl/>
          <w:lang w:eastAsia="en-US"/>
        </w:rPr>
        <w:t>סוג המדד – מדד ידוע.</w:t>
      </w:r>
    </w:p>
    <w:p>
      <w:pPr>
        <w:pStyle w:val="32"/>
        <w:widowControl w:val="0"/>
        <w:numPr>
          <w:ilvl w:val="2"/>
          <w:numId w:val="9"/>
        </w:numPr>
        <w:spacing w:after="140" w:line="276" w:lineRule="auto"/>
        <w:rPr>
          <w:rFonts w:ascii="David" w:hAnsi="David"/>
          <w:rtl/>
          <w:lang w:eastAsia="en-US"/>
        </w:rPr>
      </w:pPr>
      <w:r>
        <w:rPr>
          <w:rFonts w:ascii="David" w:hAnsi="David"/>
          <w:rtl/>
          <w:lang w:eastAsia="en-US"/>
        </w:rPr>
        <w:t>תדירות ההצמדה – חודשית.</w:t>
      </w:r>
    </w:p>
    <w:p>
      <w:pPr>
        <w:pStyle w:val="32"/>
        <w:widowControl w:val="0"/>
        <w:numPr>
          <w:ilvl w:val="2"/>
          <w:numId w:val="9"/>
        </w:numPr>
        <w:spacing w:after="140" w:line="276" w:lineRule="auto"/>
        <w:rPr>
          <w:rFonts w:ascii="David" w:hAnsi="David"/>
          <w:lang w:eastAsia="en-US"/>
        </w:rPr>
      </w:pPr>
      <w:r>
        <w:rPr>
          <w:rFonts w:ascii="David" w:hAnsi="David"/>
          <w:rtl/>
          <w:lang w:eastAsia="en-US"/>
        </w:rPr>
        <w:t xml:space="preserve">חלקיות ההצמדה – </w:t>
      </w:r>
      <w:r>
        <w:rPr>
          <w:rFonts w:ascii="David" w:hAnsi="David"/>
          <w:b/>
          <w:bCs/>
          <w:rtl/>
          <w:lang w:eastAsia="en-US"/>
        </w:rPr>
        <w:t>100</w:t>
      </w:r>
      <w:r>
        <w:rPr>
          <w:rFonts w:ascii="David" w:hAnsi="David"/>
          <w:rtl/>
          <w:lang w:eastAsia="en-US"/>
        </w:rPr>
        <w:t xml:space="preserve">%. </w:t>
      </w:r>
    </w:p>
    <w:p>
      <w:pPr>
        <w:pStyle w:val="32"/>
        <w:widowControl w:val="0"/>
        <w:numPr>
          <w:ilvl w:val="1"/>
          <w:numId w:val="9"/>
        </w:numPr>
        <w:spacing w:after="140" w:line="276" w:lineRule="auto"/>
        <w:rPr>
          <w:rFonts w:ascii="David" w:hAnsi="David"/>
          <w:b/>
          <w:bCs/>
          <w:u w:val="single"/>
          <w:lang w:eastAsia="en-US"/>
        </w:rPr>
      </w:pPr>
      <w:r>
        <w:rPr>
          <w:rFonts w:ascii="David" w:hAnsi="David"/>
          <w:b/>
          <w:bCs/>
          <w:u w:val="single"/>
          <w:rtl/>
          <w:lang w:eastAsia="en-US"/>
        </w:rPr>
        <w:t>ביצוע ההצמדה</w:t>
      </w:r>
    </w:p>
    <w:p>
      <w:pPr>
        <w:pStyle w:val="32"/>
        <w:widowControl w:val="0"/>
        <w:numPr>
          <w:ilvl w:val="2"/>
          <w:numId w:val="9"/>
        </w:numPr>
        <w:spacing w:after="140" w:line="276" w:lineRule="auto"/>
        <w:rPr>
          <w:rFonts w:ascii="David" w:hAnsi="David"/>
          <w:lang w:eastAsia="en-US"/>
        </w:rPr>
      </w:pPr>
      <w:r>
        <w:rPr>
          <w:rFonts w:ascii="David" w:hAnsi="David"/>
          <w:rtl/>
          <w:lang w:eastAsia="en-US"/>
        </w:rPr>
        <w:t>ביצוע ההצמדה יחל מהחשבונית הראשונה להתקשרות.</w:t>
      </w:r>
    </w:p>
    <w:p>
      <w:pPr>
        <w:pStyle w:val="32"/>
        <w:widowControl w:val="0"/>
        <w:numPr>
          <w:ilvl w:val="2"/>
          <w:numId w:val="9"/>
        </w:numPr>
        <w:spacing w:after="140" w:line="276" w:lineRule="auto"/>
        <w:rPr>
          <w:rFonts w:ascii="David" w:hAnsi="David"/>
          <w:b/>
          <w:bCs/>
          <w:lang w:eastAsia="en-US"/>
        </w:rPr>
      </w:pPr>
      <w:r>
        <w:rPr>
          <w:rFonts w:ascii="David" w:hAnsi="David"/>
          <w:b/>
          <w:bCs/>
          <w:u w:val="single"/>
          <w:rtl/>
          <w:lang w:eastAsia="en-US"/>
        </w:rPr>
        <w:t>אופן חישוב ההצמדה</w:t>
      </w:r>
    </w:p>
    <w:p>
      <w:pPr>
        <w:pStyle w:val="32"/>
        <w:widowControl w:val="0"/>
        <w:numPr>
          <w:ilvl w:val="3"/>
          <w:numId w:val="9"/>
        </w:numPr>
        <w:spacing w:after="140" w:line="276" w:lineRule="auto"/>
        <w:rPr>
          <w:rFonts w:ascii="David" w:hAnsi="David"/>
          <w:lang w:eastAsia="en-US"/>
        </w:rPr>
      </w:pPr>
      <w:r>
        <w:rPr>
          <w:rFonts w:ascii="David" w:hAnsi="David"/>
          <w:rtl/>
          <w:lang w:eastAsia="en-US"/>
        </w:rPr>
        <w:t xml:space="preserve">חישוב ההצמדה יבוצע אחת לתקופה, בהתאם לתדירות ביצוע ההצמדות שנקבעה בהסכם ההתקשרות. </w:t>
      </w:r>
    </w:p>
    <w:p>
      <w:pPr>
        <w:pStyle w:val="32"/>
        <w:widowControl w:val="0"/>
        <w:numPr>
          <w:ilvl w:val="3"/>
          <w:numId w:val="9"/>
        </w:numPr>
        <w:spacing w:after="140" w:line="276" w:lineRule="auto"/>
        <w:rPr>
          <w:rFonts w:ascii="David" w:hAnsi="David"/>
          <w:lang w:eastAsia="en-US"/>
        </w:rPr>
      </w:pPr>
      <w:r>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pPr>
        <w:pStyle w:val="32"/>
        <w:widowControl w:val="0"/>
        <w:numPr>
          <w:ilvl w:val="2"/>
          <w:numId w:val="9"/>
        </w:numPr>
        <w:spacing w:after="140" w:line="276" w:lineRule="auto"/>
        <w:rPr>
          <w:rFonts w:ascii="David" w:hAnsi="David"/>
          <w:rtl/>
          <w:lang w:eastAsia="en-US"/>
        </w:rPr>
      </w:pPr>
      <w:r>
        <w:rPr>
          <w:rFonts w:ascii="David" w:hAnsi="David"/>
          <w:rtl/>
          <w:lang w:eastAsia="en-US"/>
        </w:rPr>
        <w:t>סכום ההצמדה שיחושב יתווסף או יופחת לתעריפים שנקבעו בהתקשרות.</w:t>
      </w:r>
    </w:p>
    <w:p>
      <w:pPr>
        <w:pStyle w:val="32"/>
        <w:widowControl w:val="0"/>
        <w:ind w:left="2268"/>
        <w:rPr>
          <w:rtl/>
        </w:rPr>
      </w:pPr>
    </w:p>
    <w:p>
      <w:pPr>
        <w:widowControl w:val="0"/>
        <w:numPr>
          <w:ilvl w:val="1"/>
          <w:numId w:val="9"/>
        </w:numPr>
        <w:spacing w:line="300" w:lineRule="atLeast"/>
        <w:rPr>
          <w:lang w:eastAsia="en-US"/>
        </w:rPr>
      </w:pPr>
      <w:r>
        <w:rPr>
          <w:rFonts w:hint="cs"/>
          <w:rtl/>
          <w:lang w:eastAsia="en-US"/>
        </w:rPr>
        <w:t>למשרד תהיה זכות עכבון לגבי תשלומים לספק בגין חוב שהספק חב לו.</w:t>
      </w:r>
    </w:p>
    <w:p>
      <w:pPr>
        <w:widowControl w:val="0"/>
        <w:spacing w:line="300" w:lineRule="atLeast"/>
        <w:ind w:left="1418"/>
        <w:rPr>
          <w:rtl/>
          <w:lang w:eastAsia="en-US"/>
        </w:rPr>
      </w:pPr>
    </w:p>
    <w:p>
      <w:pPr>
        <w:widowControl w:val="0"/>
        <w:numPr>
          <w:ilvl w:val="1"/>
          <w:numId w:val="9"/>
        </w:numPr>
        <w:spacing w:line="300" w:lineRule="atLeast"/>
        <w:rPr>
          <w:rtl/>
          <w:lang w:eastAsia="en-US"/>
        </w:rPr>
      </w:pPr>
      <w:r>
        <w:rPr>
          <w:rFonts w:hint="cs"/>
          <w:rtl/>
          <w:lang w:eastAsia="en-US"/>
        </w:rPr>
        <w:t>לספק לא תהיה זכות עכבון בגין חוב שהמשרד חב לו.</w:t>
      </w:r>
    </w:p>
    <w:p>
      <w:pPr>
        <w:widowControl w:val="0"/>
        <w:spacing w:line="300" w:lineRule="atLeast"/>
        <w:ind w:left="709"/>
        <w:rPr>
          <w:lang w:eastAsia="en-US"/>
        </w:rPr>
      </w:pPr>
    </w:p>
    <w:p>
      <w:pPr>
        <w:widowControl w:val="0"/>
        <w:numPr>
          <w:ilvl w:val="1"/>
          <w:numId w:val="9"/>
        </w:numPr>
        <w:spacing w:line="300" w:lineRule="atLeast"/>
        <w:rPr>
          <w:rtl/>
          <w:lang w:eastAsia="en-US"/>
        </w:rPr>
      </w:pPr>
      <w:r>
        <w:rPr>
          <w:rFonts w:hint="cs"/>
          <w:rtl/>
          <w:lang w:eastAsia="en-US"/>
        </w:rPr>
        <w:t>אין להתחיל לבצע את השירות האמור במכרז זה לפני שייחתם הסכם בין המשרד לבין הספק הזוכה כדין.</w:t>
      </w:r>
    </w:p>
    <w:p>
      <w:pPr>
        <w:widowControl w:val="0"/>
        <w:spacing w:line="300" w:lineRule="atLeast"/>
        <w:rPr>
          <w:b/>
          <w:bCs/>
          <w:sz w:val="28"/>
          <w:szCs w:val="28"/>
          <w:u w:val="single"/>
          <w:rtl/>
        </w:rPr>
      </w:pPr>
    </w:p>
    <w:p>
      <w:pPr>
        <w:widowControl w:val="0"/>
        <w:spacing w:line="300" w:lineRule="atLeast"/>
        <w:rPr>
          <w:b/>
          <w:bCs/>
          <w:sz w:val="28"/>
          <w:szCs w:val="28"/>
          <w:u w:val="single"/>
          <w:rtl/>
        </w:rPr>
      </w:pPr>
    </w:p>
    <w:p>
      <w:pPr>
        <w:widowControl w:val="0"/>
        <w:numPr>
          <w:ilvl w:val="0"/>
          <w:numId w:val="9"/>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pPr>
        <w:widowControl w:val="0"/>
        <w:spacing w:line="300" w:lineRule="atLeast"/>
        <w:ind w:left="720" w:hanging="720"/>
        <w:rPr>
          <w:sz w:val="20"/>
          <w:szCs w:val="20"/>
          <w:rtl/>
          <w:lang w:eastAsia="en-US"/>
        </w:rPr>
      </w:pPr>
    </w:p>
    <w:p>
      <w:pPr>
        <w:widowControl w:val="0"/>
        <w:numPr>
          <w:ilvl w:val="1"/>
          <w:numId w:val="9"/>
        </w:numPr>
        <w:spacing w:line="300" w:lineRule="atLeast"/>
        <w:ind w:left="567"/>
        <w:rPr>
          <w:b/>
          <w:bCs/>
          <w:lang w:eastAsia="en-US"/>
        </w:rPr>
      </w:pPr>
      <w:r>
        <w:rPr>
          <w:rtl/>
          <w:lang w:eastAsia="en-US"/>
        </w:rPr>
        <w:t>ההצעה תוגש בנפרד לכל אזור אליו מוגשת ההצעה, על גבי חוברת ההצעה המצורפת בנספח 5 (1)/(2)/(3) בהתאמה.</w:t>
      </w:r>
    </w:p>
    <w:p>
      <w:pPr>
        <w:widowControl w:val="0"/>
        <w:numPr>
          <w:ilvl w:val="1"/>
          <w:numId w:val="9"/>
        </w:numPr>
        <w:spacing w:line="300" w:lineRule="atLeast"/>
        <w:ind w:left="567"/>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pPr>
        <w:widowControl w:val="0"/>
        <w:numPr>
          <w:ilvl w:val="1"/>
          <w:numId w:val="9"/>
        </w:numPr>
        <w:spacing w:line="300" w:lineRule="atLeast"/>
        <w:ind w:left="567"/>
        <w:rPr>
          <w:b/>
          <w:bCs/>
          <w:rtl/>
          <w:lang w:eastAsia="en-US"/>
        </w:rPr>
      </w:pPr>
      <w:r>
        <w:rPr>
          <w:rFonts w:hint="cs"/>
          <w:b/>
          <w:bCs/>
          <w:rtl/>
          <w:lang w:eastAsia="en-US"/>
        </w:rPr>
        <w:t>הצעה חלקית ו/או במתכונת שונה מהטבלאות המצורפות לחוברת המכרז עלולה שלא להיבדק ואף להיפסל.</w:t>
      </w:r>
    </w:p>
    <w:p>
      <w:pPr>
        <w:widowControl w:val="0"/>
        <w:numPr>
          <w:ilvl w:val="1"/>
          <w:numId w:val="9"/>
        </w:numPr>
        <w:spacing w:line="300" w:lineRule="atLeast"/>
        <w:ind w:left="567"/>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pPr>
        <w:widowControl w:val="0"/>
        <w:numPr>
          <w:ilvl w:val="1"/>
          <w:numId w:val="9"/>
        </w:numPr>
        <w:spacing w:line="300" w:lineRule="atLeast"/>
        <w:ind w:left="567"/>
        <w:rPr>
          <w:b/>
          <w:bCs/>
          <w:rtl/>
          <w:lang w:eastAsia="en-US"/>
        </w:rPr>
      </w:pPr>
      <w:r>
        <w:rPr>
          <w:rFonts w:hint="cs"/>
          <w:b/>
          <w:bCs/>
          <w:rtl/>
          <w:lang w:eastAsia="en-US"/>
        </w:rPr>
        <w:t xml:space="preserve">המחירים המוצעים יהיו בש"ח ויכללו מע"מ. </w:t>
      </w:r>
    </w:p>
    <w:p>
      <w:pPr>
        <w:widowControl w:val="0"/>
        <w:numPr>
          <w:ilvl w:val="1"/>
          <w:numId w:val="9"/>
        </w:numPr>
        <w:spacing w:line="300" w:lineRule="atLeast"/>
        <w:ind w:left="567"/>
        <w:rPr>
          <w:b/>
          <w:bCs/>
          <w:lang w:eastAsia="en-US"/>
        </w:rPr>
      </w:pPr>
      <w:r>
        <w:rPr>
          <w:rFonts w:hint="cs"/>
          <w:b/>
          <w:bCs/>
          <w:rtl/>
          <w:lang w:eastAsia="en-US"/>
        </w:rPr>
        <w:t xml:space="preserve">על המציע לקחת בחשבון כי הבסיס להשוואת הצעות המחיר בין המציעים השונים יכלול מע"מ. </w:t>
      </w:r>
    </w:p>
    <w:p>
      <w:pPr>
        <w:widowControl w:val="0"/>
        <w:numPr>
          <w:ilvl w:val="1"/>
          <w:numId w:val="9"/>
        </w:numPr>
        <w:spacing w:line="300" w:lineRule="atLeast"/>
        <w:ind w:left="567"/>
        <w:rPr>
          <w:b/>
          <w:bCs/>
          <w:sz w:val="22"/>
          <w:lang w:eastAsia="en-US"/>
        </w:rPr>
      </w:pPr>
      <w:r>
        <w:rPr>
          <w:rFonts w:hint="cs"/>
          <w:b/>
          <w:bCs/>
          <w:sz w:val="22"/>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וישלח העתק מפנייתו. </w:t>
      </w:r>
    </w:p>
    <w:p>
      <w:pPr>
        <w:widowControl w:val="0"/>
        <w:ind w:left="567"/>
        <w:rPr>
          <w:b/>
          <w:bCs/>
          <w:sz w:val="22"/>
          <w:lang w:eastAsia="en-US"/>
        </w:rPr>
      </w:pPr>
      <w:r>
        <w:rPr>
          <w:rFonts w:hint="cs"/>
          <w:b/>
          <w:bCs/>
          <w:sz w:val="22"/>
          <w:rtl/>
          <w:lang w:eastAsia="en-US"/>
        </w:rPr>
        <w:t>ככל שמציע כאמור זכה במכרז, יהיה עליו להגיש את האישור מאת רשות המסים על כך שפנה אל הרשות כאמור.</w:t>
      </w:r>
    </w:p>
    <w:p>
      <w:pPr>
        <w:widowControl w:val="0"/>
        <w:numPr>
          <w:ilvl w:val="1"/>
          <w:numId w:val="9"/>
        </w:numPr>
        <w:spacing w:line="300" w:lineRule="atLeast"/>
        <w:ind w:left="567"/>
        <w:rPr>
          <w:b/>
          <w:bCs/>
          <w:rtl/>
          <w:lang w:eastAsia="en-US"/>
        </w:rPr>
      </w:pPr>
      <w:r>
        <w:rPr>
          <w:rFonts w:hint="cs"/>
          <w:b/>
          <w:bCs/>
          <w:sz w:val="22"/>
          <w:rtl/>
          <w:lang w:eastAsia="en-US"/>
        </w:rPr>
        <w:t>במידה</w:t>
      </w:r>
      <w:r>
        <w:rPr>
          <w:rFonts w:hint="cs"/>
          <w:b/>
          <w:bCs/>
          <w:rtl/>
          <w:lang w:eastAsia="en-US"/>
        </w:rPr>
        <w:t xml:space="preserve"> שלאחר המועד האחרון להגשת ההצעות אחוז המע"מ ישתנה, השוואת ההצעות תתבצע על בסיס המחירים שהוגשו בהצעה. </w:t>
      </w:r>
    </w:p>
    <w:p>
      <w:pPr>
        <w:widowControl w:val="0"/>
        <w:numPr>
          <w:ilvl w:val="1"/>
          <w:numId w:val="9"/>
        </w:numPr>
        <w:spacing w:line="300" w:lineRule="atLeast"/>
        <w:ind w:left="567"/>
        <w:rPr>
          <w:b/>
          <w:bCs/>
          <w:lang w:eastAsia="en-US"/>
        </w:rPr>
      </w:pPr>
      <w:r>
        <w:rPr>
          <w:rFonts w:hint="cs"/>
          <w:b/>
          <w:bCs/>
          <w:rtl/>
          <w:lang w:eastAsia="en-US"/>
        </w:rPr>
        <w:t>תשלום המע"מ לספק, המחוייב במע"מ, יהיה עפ"י אחוז המע"מ, התקף במועד התשלום.</w:t>
      </w:r>
    </w:p>
    <w:p>
      <w:pPr>
        <w:widowControl w:val="0"/>
        <w:numPr>
          <w:ilvl w:val="1"/>
          <w:numId w:val="9"/>
        </w:numPr>
        <w:spacing w:line="300" w:lineRule="atLeast"/>
        <w:ind w:left="567"/>
        <w:rPr>
          <w:b/>
          <w:bCs/>
          <w:rtl/>
          <w:lang w:eastAsia="en-US"/>
        </w:rPr>
      </w:pPr>
      <w:r>
        <w:rPr>
          <w:b/>
          <w:bCs/>
          <w:rtl/>
          <w:lang w:eastAsia="en-US"/>
        </w:rPr>
        <w:t>יודגש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pPr>
        <w:widowControl w:val="0"/>
        <w:spacing w:line="240" w:lineRule="auto"/>
        <w:ind w:left="1418"/>
        <w:rPr>
          <w:b/>
          <w:bCs/>
          <w:u w:val="single"/>
          <w:rtl/>
          <w:lang w:eastAsia="en-US"/>
        </w:rPr>
      </w:pPr>
    </w:p>
    <w:p>
      <w:pPr>
        <w:widowControl w:val="0"/>
        <w:numPr>
          <w:ilvl w:val="1"/>
          <w:numId w:val="9"/>
        </w:numPr>
        <w:spacing w:after="200" w:line="300" w:lineRule="atLeast"/>
        <w:rPr>
          <w:b/>
          <w:bCs/>
          <w:u w:val="single"/>
          <w:lang w:eastAsia="en-US"/>
        </w:rPr>
      </w:pPr>
      <w:r>
        <w:rPr>
          <w:b/>
          <w:bCs/>
          <w:u w:val="single"/>
          <w:rtl/>
          <w:lang w:eastAsia="en-US"/>
        </w:rPr>
        <w:t>הצעת המחיר</w:t>
      </w:r>
    </w:p>
    <w:p>
      <w:pPr>
        <w:widowControl w:val="0"/>
        <w:numPr>
          <w:ilvl w:val="2"/>
          <w:numId w:val="9"/>
        </w:numPr>
        <w:spacing w:after="160" w:line="280" w:lineRule="atLeast"/>
        <w:ind w:left="2269" w:hanging="851"/>
        <w:rPr>
          <w:b/>
          <w:bCs/>
          <w:u w:val="single"/>
          <w:lang w:eastAsia="en-US"/>
        </w:rPr>
      </w:pPr>
      <w:r>
        <w:rPr>
          <w:rFonts w:hint="cs"/>
          <w:b/>
          <w:bCs/>
          <w:u w:val="single"/>
          <w:rtl/>
          <w:lang w:eastAsia="en-US"/>
        </w:rPr>
        <w:t>אזור 1 כולל: מחוז חיפה ומחוז הצפון</w:t>
      </w:r>
    </w:p>
    <w:p>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pPr>
        <w:widowControl w:val="0"/>
        <w:numPr>
          <w:ilvl w:val="3"/>
          <w:numId w:val="9"/>
        </w:numPr>
        <w:spacing w:line="280" w:lineRule="atLeast"/>
        <w:rPr>
          <w:rtl/>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pPr>
        <w:widowControl w:val="0"/>
        <w:spacing w:line="300" w:lineRule="atLeast"/>
        <w:ind w:left="2160" w:hanging="720"/>
        <w:rPr>
          <w:sz w:val="20"/>
          <w:szCs w:val="20"/>
          <w:rtl/>
          <w:lang w:eastAsia="en-US"/>
        </w:rPr>
      </w:pPr>
    </w:p>
    <w:p>
      <w:pPr>
        <w:widowControl w:val="0"/>
        <w:numPr>
          <w:ilvl w:val="2"/>
          <w:numId w:val="9"/>
        </w:numPr>
        <w:spacing w:after="160" w:line="280" w:lineRule="atLeast"/>
        <w:ind w:left="2269" w:hanging="851"/>
        <w:rPr>
          <w:b/>
          <w:bCs/>
          <w:u w:val="single"/>
          <w:lang w:eastAsia="en-US"/>
        </w:rPr>
      </w:pPr>
      <w:r>
        <w:rPr>
          <w:rFonts w:hint="cs"/>
          <w:b/>
          <w:bCs/>
          <w:u w:val="single"/>
          <w:rtl/>
          <w:lang w:eastAsia="en-US"/>
        </w:rPr>
        <w:t>אזור 2 כולל: מחוז ת"א, מחוז מרכז ומחוז ירושלים (כולל מנח"י)</w:t>
      </w:r>
    </w:p>
    <w:p>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pPr>
        <w:widowControl w:val="0"/>
        <w:numPr>
          <w:ilvl w:val="3"/>
          <w:numId w:val="9"/>
        </w:numPr>
        <w:spacing w:after="160" w:line="280" w:lineRule="atLeast"/>
        <w:rPr>
          <w:rtl/>
          <w:lang w:eastAsia="en-US"/>
        </w:rPr>
      </w:pPr>
      <w:r>
        <w:rPr>
          <w:rFonts w:hint="cs"/>
          <w:rtl/>
          <w:lang w:eastAsia="en-US"/>
        </w:rPr>
        <w:t xml:space="preserve">מחיר לארגון וביצוע מפגש מדעי ארצי בהיקף של </w:t>
      </w:r>
      <w:r>
        <w:rPr>
          <w:rFonts w:hint="cs"/>
          <w:b/>
          <w:bCs/>
          <w:rtl/>
          <w:lang w:eastAsia="en-US"/>
        </w:rPr>
        <w:t>6</w:t>
      </w:r>
      <w:r>
        <w:rPr>
          <w:rFonts w:hint="cs"/>
          <w:rtl/>
          <w:lang w:eastAsia="en-US"/>
        </w:rPr>
        <w:t xml:space="preserve"> שעות</w:t>
      </w:r>
    </w:p>
    <w:p>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pPr>
        <w:widowControl w:val="0"/>
        <w:numPr>
          <w:ilvl w:val="3"/>
          <w:numId w:val="9"/>
        </w:numPr>
        <w:spacing w:line="280" w:lineRule="atLeast"/>
        <w:rPr>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pPr>
        <w:widowControl w:val="0"/>
        <w:spacing w:line="280" w:lineRule="atLeast"/>
        <w:ind w:left="2835"/>
        <w:rPr>
          <w:rtl/>
          <w:lang w:eastAsia="en-US"/>
        </w:rPr>
      </w:pPr>
    </w:p>
    <w:p>
      <w:pPr>
        <w:widowControl w:val="0"/>
        <w:numPr>
          <w:ilvl w:val="2"/>
          <w:numId w:val="9"/>
        </w:numPr>
        <w:spacing w:after="160" w:line="280" w:lineRule="atLeast"/>
        <w:ind w:left="2269" w:hanging="851"/>
        <w:rPr>
          <w:b/>
          <w:bCs/>
          <w:u w:val="single"/>
          <w:lang w:eastAsia="en-US"/>
        </w:rPr>
      </w:pPr>
      <w:r>
        <w:rPr>
          <w:b/>
          <w:bCs/>
          <w:u w:val="single"/>
          <w:rtl/>
          <w:lang w:eastAsia="en-US"/>
        </w:rPr>
        <w:br w:type="page"/>
      </w:r>
      <w:r>
        <w:rPr>
          <w:rFonts w:hint="cs"/>
          <w:b/>
          <w:bCs/>
          <w:u w:val="single"/>
          <w:rtl/>
          <w:lang w:eastAsia="en-US"/>
        </w:rPr>
        <w:lastRenderedPageBreak/>
        <w:t>אזור 3 כולל: מחוז  הדרום</w:t>
      </w:r>
    </w:p>
    <w:p>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pPr>
        <w:widowControl w:val="0"/>
        <w:numPr>
          <w:ilvl w:val="3"/>
          <w:numId w:val="9"/>
        </w:numPr>
        <w:spacing w:line="280" w:lineRule="atLeast"/>
        <w:rPr>
          <w:rtl/>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pPr>
        <w:widowControl w:val="0"/>
        <w:spacing w:line="300" w:lineRule="atLeast"/>
        <w:ind w:left="2160" w:hanging="720"/>
        <w:rPr>
          <w:sz w:val="20"/>
          <w:szCs w:val="20"/>
          <w:rtl/>
          <w:lang w:eastAsia="en-US"/>
        </w:rPr>
      </w:pPr>
    </w:p>
    <w:p>
      <w:pPr>
        <w:widowControl w:val="0"/>
        <w:spacing w:line="300" w:lineRule="atLeast"/>
        <w:ind w:left="2160" w:hanging="720"/>
        <w:rPr>
          <w:sz w:val="20"/>
          <w:szCs w:val="20"/>
          <w:rtl/>
          <w:lang w:eastAsia="en-US"/>
        </w:rPr>
      </w:pPr>
    </w:p>
    <w:p>
      <w:pPr>
        <w:pStyle w:val="21"/>
        <w:widowControl w:val="0"/>
        <w:ind w:left="1417"/>
        <w:rPr>
          <w:b/>
          <w:bCs/>
          <w:rtl/>
          <w:lang w:eastAsia="en-US"/>
        </w:rPr>
      </w:pPr>
      <w:bookmarkStart w:id="29" w:name="_Hlk165452174"/>
      <w:r>
        <w:rPr>
          <w:rFonts w:hint="cs"/>
          <w:b/>
          <w:bCs/>
          <w:rtl/>
          <w:lang w:eastAsia="en-US"/>
        </w:rPr>
        <w:t>על המציע לפרט את התחשיב על פיו הגיע להצעת המחיר בכל סעיף וסעיף בחלוקה להוצאות קבועות והוצאות משתנות.</w:t>
      </w:r>
    </w:p>
    <w:p>
      <w:pPr>
        <w:pStyle w:val="21"/>
        <w:widowControl w:val="0"/>
        <w:ind w:left="1417"/>
        <w:rPr>
          <w:b/>
          <w:bCs/>
          <w:rtl/>
          <w:lang w:eastAsia="en-US"/>
        </w:rPr>
      </w:pPr>
      <w:r>
        <w:rPr>
          <w:rFonts w:hint="cs"/>
          <w:b/>
          <w:bCs/>
          <w:rtl/>
          <w:lang w:eastAsia="en-US"/>
        </w:rPr>
        <w:t>הפירוט יוכן על גבי דפי העזר המצורפים בחוברת ההצעה מיד לאחר הצעת המחיר.</w:t>
      </w:r>
    </w:p>
    <w:p>
      <w:pPr>
        <w:pStyle w:val="21"/>
        <w:widowControl w:val="0"/>
        <w:spacing w:line="240" w:lineRule="auto"/>
        <w:ind w:left="1417"/>
        <w:rPr>
          <w:rtl/>
          <w:lang w:eastAsia="en-US"/>
        </w:rPr>
      </w:pPr>
    </w:p>
    <w:p>
      <w:pPr>
        <w:pStyle w:val="21"/>
        <w:widowControl w:val="0"/>
        <w:spacing w:line="240" w:lineRule="auto"/>
        <w:ind w:left="1417"/>
        <w:rPr>
          <w:rtl/>
          <w:lang w:eastAsia="en-US"/>
        </w:rPr>
      </w:pPr>
    </w:p>
    <w:p>
      <w:pPr>
        <w:pStyle w:val="21"/>
        <w:widowControl w:val="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bookmarkEnd w:id="29"/>
    <w:p>
      <w:pPr>
        <w:widowControl w:val="0"/>
        <w:spacing w:line="240" w:lineRule="auto"/>
        <w:ind w:left="1417"/>
        <w:rPr>
          <w:b/>
          <w:bCs/>
          <w:rtl/>
          <w:lang w:eastAsia="en-US"/>
        </w:rPr>
      </w:pPr>
    </w:p>
    <w:p>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pPr>
        <w:widowControl w:val="0"/>
        <w:spacing w:line="300" w:lineRule="atLeast"/>
        <w:ind w:left="1418"/>
        <w:rPr>
          <w:b/>
          <w:bCs/>
          <w:u w:val="single"/>
          <w:lang w:eastAsia="en-US"/>
        </w:rPr>
      </w:pPr>
    </w:p>
    <w:p>
      <w:pPr>
        <w:widowControl w:val="0"/>
        <w:numPr>
          <w:ilvl w:val="1"/>
          <w:numId w:val="9"/>
        </w:numPr>
        <w:spacing w:line="300" w:lineRule="atLeast"/>
        <w:rPr>
          <w:b/>
          <w:bCs/>
          <w:u w:val="single"/>
          <w:rtl/>
          <w:lang w:eastAsia="en-US"/>
        </w:rPr>
      </w:pPr>
      <w:r>
        <w:rPr>
          <w:b/>
          <w:bCs/>
          <w:u w:val="single"/>
          <w:rtl/>
          <w:lang w:eastAsia="en-US"/>
        </w:rPr>
        <w:t>ניסיון המציע ורשימת עבודות דומות</w:t>
      </w:r>
    </w:p>
    <w:p>
      <w:pPr>
        <w:widowControl w:val="0"/>
        <w:spacing w:line="300" w:lineRule="atLeast"/>
        <w:ind w:left="1440" w:hanging="720"/>
        <w:rPr>
          <w:sz w:val="22"/>
          <w:rtl/>
          <w:lang w:eastAsia="en-US"/>
        </w:rPr>
      </w:pPr>
    </w:p>
    <w:p>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Pr>
          <w:rFonts w:hint="cs"/>
          <w:b/>
          <w:bCs/>
          <w:sz w:val="22"/>
          <w:rtl/>
          <w:lang w:eastAsia="en-US"/>
        </w:rPr>
        <w:t>2.3.7</w:t>
      </w:r>
      <w:r>
        <w:rPr>
          <w:sz w:val="22"/>
          <w:rtl/>
          <w:lang w:eastAsia="en-US"/>
        </w:rPr>
        <w:t>, תוך ציון ההיקף הכמותי והכספי.</w:t>
      </w:r>
    </w:p>
    <w:p>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lang w:eastAsia="en-US"/>
        </w:rPr>
      </w:pPr>
    </w:p>
    <w:p>
      <w:pPr>
        <w:widowControl w:val="0"/>
        <w:numPr>
          <w:ilvl w:val="1"/>
          <w:numId w:val="9"/>
        </w:numPr>
        <w:spacing w:line="300" w:lineRule="atLeast"/>
        <w:rPr>
          <w:b/>
          <w:bCs/>
          <w:u w:val="single"/>
          <w:rtl/>
          <w:lang w:eastAsia="en-US"/>
        </w:rPr>
      </w:pPr>
      <w:r>
        <w:rPr>
          <w:b/>
          <w:bCs/>
          <w:u w:val="single"/>
          <w:rtl/>
          <w:lang w:eastAsia="en-US"/>
        </w:rPr>
        <w:lastRenderedPageBreak/>
        <w:t>נתונים כלליים של המציע</w:t>
      </w:r>
    </w:p>
    <w:p>
      <w:pPr>
        <w:widowControl w:val="0"/>
        <w:spacing w:line="240" w:lineRule="auto"/>
        <w:ind w:left="1417"/>
        <w:rPr>
          <w:sz w:val="22"/>
          <w:rtl/>
          <w:lang w:eastAsia="en-US"/>
        </w:rPr>
      </w:pPr>
    </w:p>
    <w:p>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pPr>
        <w:widowControl w:val="0"/>
        <w:spacing w:line="300" w:lineRule="atLeast"/>
        <w:ind w:left="1418"/>
        <w:rPr>
          <w:b/>
          <w:bCs/>
          <w:u w:val="single"/>
          <w:lang w:eastAsia="en-US"/>
        </w:rPr>
      </w:pPr>
    </w:p>
    <w:p>
      <w:pPr>
        <w:widowControl w:val="0"/>
        <w:numPr>
          <w:ilvl w:val="2"/>
          <w:numId w:val="9"/>
        </w:numPr>
        <w:spacing w:line="300" w:lineRule="atLeast"/>
        <w:ind w:left="1984"/>
        <w:rPr>
          <w:b/>
          <w:bCs/>
          <w:u w:val="single"/>
          <w:lang w:eastAsia="en-US"/>
        </w:rPr>
      </w:pPr>
      <w:r>
        <w:rPr>
          <w:b/>
          <w:bCs/>
          <w:u w:val="single"/>
          <w:rtl/>
          <w:lang w:eastAsia="en-US"/>
        </w:rPr>
        <w:t>נתוני מתאם פעילות אזורי</w:t>
      </w:r>
    </w:p>
    <w:p>
      <w:pPr>
        <w:widowControl w:val="0"/>
        <w:spacing w:line="300" w:lineRule="atLeast"/>
        <w:ind w:left="1984"/>
        <w:rPr>
          <w:sz w:val="22"/>
          <w:rtl/>
          <w:lang w:eastAsia="en-US"/>
        </w:rPr>
      </w:pPr>
    </w:p>
    <w:p>
      <w:pPr>
        <w:widowControl w:val="0"/>
        <w:spacing w:line="300" w:lineRule="atLeast"/>
        <w:ind w:left="2268"/>
        <w:rPr>
          <w:b/>
          <w:bCs/>
          <w:sz w:val="22"/>
          <w:u w:val="single"/>
          <w:rtl/>
          <w:lang w:eastAsia="en-US"/>
        </w:rPr>
      </w:pPr>
      <w:r>
        <w:rPr>
          <w:sz w:val="22"/>
          <w:rtl/>
          <w:lang w:eastAsia="en-US"/>
        </w:rPr>
        <w:t>יש לצרף להצע</w:t>
      </w:r>
      <w:r>
        <w:rPr>
          <w:rFonts w:hint="cs"/>
          <w:sz w:val="22"/>
          <w:rtl/>
          <w:lang w:eastAsia="en-US"/>
        </w:rPr>
        <w:t>ה</w:t>
      </w:r>
      <w:r>
        <w:rPr>
          <w:sz w:val="22"/>
          <w:rtl/>
          <w:lang w:eastAsia="en-US"/>
        </w:rPr>
        <w:t xml:space="preserve"> </w:t>
      </w:r>
      <w:r>
        <w:rPr>
          <w:rFonts w:hint="cs"/>
          <w:sz w:val="22"/>
          <w:rtl/>
          <w:lang w:eastAsia="en-US"/>
        </w:rPr>
        <w:t>ל</w:t>
      </w:r>
      <w:r>
        <w:rPr>
          <w:sz w:val="22"/>
          <w:rtl/>
          <w:lang w:eastAsia="en-US"/>
        </w:rPr>
        <w:t>מכרז קורות חיים מפורט</w:t>
      </w:r>
      <w:r>
        <w:rPr>
          <w:rFonts w:hint="cs"/>
          <w:sz w:val="22"/>
          <w:rtl/>
          <w:lang w:eastAsia="en-US"/>
        </w:rPr>
        <w:t>ים</w:t>
      </w:r>
      <w:r>
        <w:rPr>
          <w:sz w:val="22"/>
          <w:rtl/>
          <w:lang w:eastAsia="en-US"/>
        </w:rPr>
        <w:t xml:space="preserve"> של נתוני מתאם פעילות אזורי, </w:t>
      </w:r>
      <w:r>
        <w:rPr>
          <w:rFonts w:hint="cs"/>
          <w:sz w:val="22"/>
          <w:rtl/>
          <w:lang w:eastAsia="en-US"/>
        </w:rPr>
        <w:t xml:space="preserve">תעודות ואישורי </w:t>
      </w:r>
      <w:r>
        <w:rPr>
          <w:sz w:val="22"/>
          <w:rtl/>
          <w:lang w:eastAsia="en-US"/>
        </w:rPr>
        <w:t xml:space="preserve">הכשרה אקדמאית ומקצועית, רשימת עבודות רלוונטיות שבוצעו על ידו, שמות </w:t>
      </w:r>
      <w:r>
        <w:rPr>
          <w:rFonts w:hint="cs"/>
          <w:sz w:val="22"/>
          <w:rtl/>
          <w:lang w:eastAsia="en-US"/>
        </w:rPr>
        <w:t xml:space="preserve">של מקבלי שירות חיצוניים (שאינם עובדי המציע ו/או חברות בנות ו/או חברות קשורות </w:t>
      </w:r>
      <w:r>
        <w:rPr>
          <w:sz w:val="22"/>
          <w:rtl/>
          <w:lang w:eastAsia="en-US"/>
        </w:rPr>
        <w:t xml:space="preserve">ו/או מי שהיה המעסיק של </w:t>
      </w:r>
      <w:r>
        <w:rPr>
          <w:rFonts w:hint="eastAsia"/>
          <w:sz w:val="22"/>
          <w:rtl/>
          <w:lang w:eastAsia="en-US"/>
        </w:rPr>
        <w:t>מנהל</w:t>
      </w:r>
      <w:r>
        <w:rPr>
          <w:sz w:val="22"/>
          <w:rtl/>
          <w:lang w:eastAsia="en-US"/>
        </w:rPr>
        <w:t xml:space="preserve"> </w:t>
      </w:r>
      <w:r>
        <w:rPr>
          <w:rFonts w:hint="eastAsia"/>
          <w:sz w:val="22"/>
          <w:rtl/>
          <w:lang w:eastAsia="en-US"/>
        </w:rPr>
        <w:t>הפרוייקט</w:t>
      </w:r>
      <w:r>
        <w:rPr>
          <w:rFonts w:hint="cs"/>
          <w:sz w:val="22"/>
          <w:rtl/>
          <w:lang w:eastAsia="en-US"/>
        </w:rPr>
        <w:t xml:space="preserve">)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p>
    <w:p>
      <w:pPr>
        <w:widowControl w:val="0"/>
        <w:spacing w:line="240" w:lineRule="auto"/>
        <w:ind w:left="2268"/>
        <w:rPr>
          <w:sz w:val="22"/>
          <w:rtl/>
          <w:lang w:eastAsia="en-US"/>
        </w:rPr>
      </w:pPr>
    </w:p>
    <w:p>
      <w:pPr>
        <w:widowControl w:val="0"/>
        <w:spacing w:line="300" w:lineRule="atLeast"/>
        <w:ind w:left="2268"/>
        <w:rPr>
          <w:sz w:val="22"/>
          <w:rtl/>
          <w:lang w:eastAsia="en-US"/>
        </w:rPr>
      </w:pPr>
      <w:r>
        <w:rPr>
          <w:rFonts w:hint="cs"/>
          <w:sz w:val="22"/>
          <w:rtl/>
          <w:lang w:eastAsia="en-US"/>
        </w:rPr>
        <w:t>לתשומת לב המציע, יש לרשום פרטי מקבלי שירות חיצוניים (שאינם עובדי המציע ו/או חברות בנות ו/או חברות קשורות ו/או מי שהיה המעסיק של מתאם פעילות אזורי) עדכניים, מלאים ונכונים ולוודא מראש כי מדובר באנשי קשר זמינים.</w:t>
      </w:r>
    </w:p>
    <w:p>
      <w:pPr>
        <w:widowControl w:val="0"/>
        <w:spacing w:line="300" w:lineRule="atLeast"/>
        <w:ind w:left="1417"/>
        <w:rPr>
          <w:b/>
          <w:bCs/>
          <w:u w:val="single"/>
          <w:rtl/>
          <w:lang w:eastAsia="en-US"/>
        </w:rPr>
      </w:pPr>
    </w:p>
    <w:p>
      <w:pPr>
        <w:widowControl w:val="0"/>
        <w:spacing w:line="300" w:lineRule="atLeast"/>
        <w:ind w:left="1417"/>
        <w:rPr>
          <w:rFonts w:ascii="David" w:hAnsi="David"/>
          <w:b/>
          <w:bCs/>
          <w:rtl/>
          <w:lang w:eastAsia="en-US"/>
        </w:rPr>
      </w:pPr>
    </w:p>
    <w:p>
      <w:pPr>
        <w:widowControl w:val="0"/>
        <w:spacing w:line="300" w:lineRule="atLeast"/>
        <w:ind w:left="1417"/>
        <w:rPr>
          <w:rFonts w:ascii="David" w:hAnsi="David"/>
          <w:b/>
          <w:bCs/>
          <w:rtl/>
          <w:lang w:eastAsia="en-US"/>
        </w:rPr>
      </w:pPr>
    </w:p>
    <w:p>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pPr>
        <w:widowControl w:val="0"/>
        <w:spacing w:line="300" w:lineRule="atLeast"/>
        <w:ind w:left="1985"/>
        <w:rPr>
          <w:sz w:val="22"/>
          <w:szCs w:val="22"/>
          <w:lang w:eastAsia="en-US"/>
        </w:rPr>
      </w:pPr>
    </w:p>
    <w:p>
      <w:pPr>
        <w:widowControl w:val="0"/>
        <w:spacing w:line="300" w:lineRule="atLeast"/>
        <w:ind w:left="1418"/>
        <w:rPr>
          <w:sz w:val="22"/>
          <w:szCs w:val="22"/>
          <w:rtl/>
          <w:lang w:eastAsia="en-US"/>
        </w:rPr>
      </w:pPr>
    </w:p>
    <w:p>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widowControl w:val="0"/>
        <w:spacing w:line="300" w:lineRule="atLeast"/>
        <w:ind w:left="709"/>
        <w:rPr>
          <w:b/>
          <w:bCs/>
          <w:u w:val="single"/>
          <w:lang w:eastAsia="en-US"/>
        </w:rPr>
      </w:pPr>
    </w:p>
    <w:p>
      <w:pPr>
        <w:widowControl w:val="0"/>
        <w:numPr>
          <w:ilvl w:val="1"/>
          <w:numId w:val="9"/>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pPr>
        <w:widowControl w:val="0"/>
        <w:spacing w:line="300" w:lineRule="atLeast"/>
        <w:ind w:left="1418"/>
        <w:rPr>
          <w:rtl/>
          <w:lang w:eastAsia="en-US"/>
        </w:rPr>
      </w:pPr>
    </w:p>
    <w:p>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pPr>
        <w:widowControl w:val="0"/>
        <w:spacing w:line="300" w:lineRule="atLeast"/>
        <w:ind w:left="1418"/>
        <w:rPr>
          <w:rtl/>
          <w:lang w:eastAsia="en-US"/>
        </w:rPr>
      </w:pPr>
    </w:p>
    <w:p>
      <w:pPr>
        <w:widowControl w:val="0"/>
        <w:spacing w:line="300" w:lineRule="atLeast"/>
        <w:ind w:left="1418"/>
        <w:rPr>
          <w:rtl/>
          <w:lang w:eastAsia="en-US"/>
        </w:rPr>
      </w:pPr>
    </w:p>
    <w:p>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הקריטריונים לבחירת הספק</w:t>
      </w:r>
    </w:p>
    <w:p>
      <w:pPr>
        <w:pStyle w:val="11"/>
        <w:keepNext w:val="0"/>
        <w:widowControl w:val="0"/>
        <w:spacing w:before="0" w:after="0" w:line="300" w:lineRule="atLeast"/>
        <w:ind w:right="0"/>
        <w:rPr>
          <w:rtl/>
        </w:rPr>
      </w:pPr>
    </w:p>
    <w:p>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הספק:</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pPr>
        <w:widowControl w:val="0"/>
        <w:spacing w:line="300" w:lineRule="atLeast"/>
        <w:ind w:left="720"/>
        <w:rPr>
          <w:rFonts w:ascii="David" w:hAnsi="David"/>
          <w:position w:val="2"/>
          <w:rtl/>
          <w:lang w:eastAsia="en-US"/>
        </w:rPr>
      </w:pPr>
    </w:p>
    <w:p>
      <w:pPr>
        <w:widowControl w:val="0"/>
        <w:numPr>
          <w:ilvl w:val="1"/>
          <w:numId w:val="9"/>
        </w:numPr>
        <w:spacing w:line="300" w:lineRule="atLeast"/>
        <w:rPr>
          <w:rFonts w:ascii="David" w:hAnsi="David"/>
          <w:lang w:eastAsia="en-US"/>
        </w:rPr>
      </w:pPr>
      <w:bookmarkStart w:id="30" w:name="_Hlk165451657"/>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45%</w:t>
      </w:r>
    </w:p>
    <w:bookmarkEnd w:id="30"/>
    <w:p>
      <w:pPr>
        <w:widowControl w:val="0"/>
        <w:spacing w:line="300" w:lineRule="atLeast"/>
        <w:ind w:left="1417"/>
        <w:rPr>
          <w:rFonts w:ascii="David" w:hAnsi="David"/>
          <w:b/>
          <w:bCs/>
          <w:rtl/>
          <w:lang w:eastAsia="en-US"/>
        </w:rPr>
      </w:pPr>
    </w:p>
    <w:p>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 מצ"ב בטבלת השוואת ההצעות המצורפת בנספח 6 א' ו- ב'.</w:t>
      </w:r>
    </w:p>
    <w:p>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ניסיון המציע</w:t>
      </w:r>
    </w:p>
    <w:p>
      <w:pPr>
        <w:widowControl w:val="0"/>
        <w:spacing w:line="300" w:lineRule="atLeast"/>
        <w:ind w:left="2269"/>
        <w:rPr>
          <w:rFonts w:ascii="David" w:hAnsi="David"/>
          <w:lang w:eastAsia="en-US"/>
        </w:rPr>
      </w:pPr>
    </w:p>
    <w:p>
      <w:pPr>
        <w:widowControl w:val="0"/>
        <w:numPr>
          <w:ilvl w:val="3"/>
          <w:numId w:val="9"/>
        </w:numPr>
        <w:spacing w:line="300" w:lineRule="atLeast"/>
        <w:rPr>
          <w:rFonts w:ascii="David" w:hAnsi="David"/>
          <w:lang w:eastAsia="en-US"/>
        </w:rPr>
      </w:pPr>
      <w:r>
        <w:rPr>
          <w:rFonts w:ascii="Calibri" w:eastAsia="Calibri" w:hAnsi="Calibri" w:hint="cs"/>
          <w:rtl/>
          <w:lang w:eastAsia="en-US"/>
        </w:rPr>
        <w:t xml:space="preserve">שנות נסיון נוספות של המציע, </w:t>
      </w:r>
      <w:r>
        <w:rPr>
          <w:rFonts w:ascii="David" w:hAnsi="David" w:hint="cs"/>
          <w:rtl/>
          <w:lang w:eastAsia="en-US"/>
        </w:rPr>
        <w:t>מעבר לנדרש בדרישות הסף,</w:t>
      </w:r>
      <w:r>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pPr>
        <w:widowControl w:val="0"/>
        <w:numPr>
          <w:ilvl w:val="3"/>
          <w:numId w:val="9"/>
        </w:numPr>
        <w:spacing w:line="300" w:lineRule="atLeast"/>
        <w:rPr>
          <w:rFonts w:ascii="David" w:hAnsi="David"/>
          <w:lang w:eastAsia="en-US"/>
        </w:rPr>
      </w:pPr>
      <w:r>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pPr>
        <w:widowControl w:val="0"/>
        <w:spacing w:line="300" w:lineRule="atLeast"/>
        <w:ind w:left="2835"/>
        <w:rPr>
          <w:rFonts w:ascii="David" w:hAnsi="David"/>
          <w:lang w:eastAsia="en-US"/>
        </w:rPr>
      </w:pPr>
      <w:r>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 המציע</w:t>
      </w:r>
    </w:p>
    <w:p>
      <w:pPr>
        <w:widowControl w:val="0"/>
        <w:spacing w:line="300" w:lineRule="atLeast"/>
        <w:ind w:left="2269"/>
      </w:pPr>
    </w:p>
    <w:p>
      <w:pPr>
        <w:widowControl w:val="0"/>
        <w:numPr>
          <w:ilvl w:val="3"/>
          <w:numId w:val="9"/>
        </w:numPr>
        <w:spacing w:line="300" w:lineRule="atLeast"/>
      </w:pPr>
      <w:r>
        <w:rPr>
          <w:rtl/>
        </w:rPr>
        <w:t xml:space="preserve">המשרד יפנה לעד שלושה </w:t>
      </w:r>
      <w:r>
        <w:rPr>
          <w:rFonts w:hint="cs"/>
          <w:rtl/>
        </w:rPr>
        <w:t>לקוחות</w:t>
      </w:r>
      <w:r>
        <w:rPr>
          <w:rtl/>
        </w:rPr>
        <w:t xml:space="preserve"> להם נתן המציע שירותים (בין אם שמם נמסר כחלק מההצעה ובין אם לאו) – בהתאם לשיקול דעת המשרד. המשרד רשאי לפנות </w:t>
      </w:r>
      <w:r>
        <w:rPr>
          <w:rFonts w:hint="cs"/>
          <w:rtl/>
        </w:rPr>
        <w:t>למספר לקוחות שונה לצורך קבלת חוות דעת</w:t>
      </w:r>
      <w:r>
        <w:rPr>
          <w:rtl/>
        </w:rPr>
        <w:t xml:space="preserve">, ובלבד שיפנה לאותו מספר </w:t>
      </w:r>
      <w:r>
        <w:rPr>
          <w:rFonts w:hint="cs"/>
          <w:rtl/>
        </w:rPr>
        <w:t>לקוחות</w:t>
      </w:r>
      <w:r>
        <w:rPr>
          <w:rtl/>
        </w:rPr>
        <w:t xml:space="preserve"> לכל המציעים.</w:t>
      </w:r>
    </w:p>
    <w:p>
      <w:pPr>
        <w:widowControl w:val="0"/>
        <w:numPr>
          <w:ilvl w:val="3"/>
          <w:numId w:val="9"/>
        </w:numPr>
        <w:spacing w:line="300" w:lineRule="atLeast"/>
        <w:rPr>
          <w:rtl/>
        </w:rPr>
      </w:pPr>
      <w:r>
        <w:rPr>
          <w:rFonts w:hint="cs"/>
          <w:rtl/>
        </w:rPr>
        <w:t>המשרד</w:t>
      </w:r>
      <w:r>
        <w:rPr>
          <w:rtl/>
        </w:rPr>
        <w:t xml:space="preserve"> יבקש </w:t>
      </w:r>
      <w:r>
        <w:rPr>
          <w:rFonts w:hint="cs"/>
          <w:rtl/>
        </w:rPr>
        <w:t>מהלקוח</w:t>
      </w:r>
      <w:r>
        <w:rPr>
          <w:rtl/>
        </w:rPr>
        <w:t xml:space="preserve"> להתייחס ולנקד את הנושאים הבאים בין 0 ל-5 נקודות:</w:t>
      </w:r>
    </w:p>
    <w:p>
      <w:pPr>
        <w:widowControl w:val="0"/>
        <w:numPr>
          <w:ilvl w:val="4"/>
          <w:numId w:val="9"/>
        </w:numPr>
        <w:spacing w:line="300" w:lineRule="atLeast"/>
        <w:rPr>
          <w:rtl/>
        </w:rPr>
      </w:pPr>
      <w:r>
        <w:rPr>
          <w:rFonts w:hint="cs"/>
          <w:rtl/>
        </w:rPr>
        <w:t xml:space="preserve">רמת </w:t>
      </w:r>
      <w:r>
        <w:rPr>
          <w:rtl/>
        </w:rPr>
        <w:t>מקצועיות המציע</w:t>
      </w:r>
      <w:r>
        <w:rPr>
          <w:rFonts w:hint="cs"/>
          <w:rtl/>
        </w:rPr>
        <w:t>.</w:t>
      </w:r>
    </w:p>
    <w:p>
      <w:pPr>
        <w:widowControl w:val="0"/>
        <w:numPr>
          <w:ilvl w:val="4"/>
          <w:numId w:val="9"/>
        </w:numPr>
        <w:spacing w:line="300" w:lineRule="atLeast"/>
        <w:rPr>
          <w:rtl/>
        </w:rPr>
      </w:pPr>
      <w:r>
        <w:rPr>
          <w:rtl/>
        </w:rPr>
        <w:t>זמינותו של המציע</w:t>
      </w:r>
      <w:r>
        <w:rPr>
          <w:rFonts w:hint="cs"/>
          <w:rtl/>
        </w:rPr>
        <w:t>.</w:t>
      </w:r>
    </w:p>
    <w:p>
      <w:pPr>
        <w:widowControl w:val="0"/>
        <w:numPr>
          <w:ilvl w:val="4"/>
          <w:numId w:val="9"/>
        </w:numPr>
        <w:spacing w:line="300" w:lineRule="atLeast"/>
        <w:rPr>
          <w:rtl/>
        </w:rPr>
      </w:pPr>
      <w:r>
        <w:rPr>
          <w:rFonts w:hint="cs"/>
          <w:rtl/>
        </w:rPr>
        <w:t>מידת שביעות רצון מהשירות של המציע</w:t>
      </w:r>
      <w:r>
        <w:rPr>
          <w:rtl/>
        </w:rPr>
        <w:t>.</w:t>
      </w:r>
    </w:p>
    <w:p>
      <w:pPr>
        <w:widowControl w:val="0"/>
        <w:numPr>
          <w:ilvl w:val="4"/>
          <w:numId w:val="9"/>
        </w:numPr>
        <w:spacing w:line="300" w:lineRule="atLeast"/>
        <w:rPr>
          <w:rtl/>
        </w:rPr>
      </w:pPr>
      <w:r>
        <w:rPr>
          <w:rFonts w:hint="cs"/>
          <w:rtl/>
        </w:rPr>
        <w:t>מידת ההתאמה של המציע לשירות שניתן.</w:t>
      </w:r>
    </w:p>
    <w:p>
      <w:pPr>
        <w:widowControl w:val="0"/>
        <w:numPr>
          <w:ilvl w:val="4"/>
          <w:numId w:val="9"/>
        </w:numPr>
        <w:spacing w:line="300" w:lineRule="atLeast"/>
      </w:pPr>
      <w:r>
        <w:rPr>
          <w:rFonts w:hint="cs"/>
          <w:rtl/>
        </w:rPr>
        <w:t>רמת גמישות לשינויים ויכולת עבודה תחת לחץ של המציע.</w:t>
      </w:r>
    </w:p>
    <w:p>
      <w:pPr>
        <w:widowControl w:val="0"/>
        <w:spacing w:line="300" w:lineRule="atLeast"/>
        <w:ind w:left="2268"/>
        <w:rPr>
          <w:rtl/>
        </w:rPr>
      </w:pPr>
      <w:r>
        <w:rPr>
          <w:rFonts w:hint="cs"/>
          <w:rtl/>
        </w:rPr>
        <w:t>נושאים נוספים בהתאם לצורך.</w:t>
      </w:r>
    </w:p>
    <w:p>
      <w:pPr>
        <w:widowControl w:val="0"/>
        <w:numPr>
          <w:ilvl w:val="3"/>
          <w:numId w:val="9"/>
        </w:numPr>
        <w:spacing w:line="300" w:lineRule="atLeast"/>
        <w:rPr>
          <w:rtl/>
        </w:rPr>
      </w:pPr>
      <w:r>
        <w:rPr>
          <w:rtl/>
        </w:rPr>
        <w:t xml:space="preserve">הציון הסופי יהיה ממוצע ציוני </w:t>
      </w:r>
      <w:r>
        <w:rPr>
          <w:rFonts w:hint="cs"/>
          <w:rtl/>
        </w:rPr>
        <w:t>הלקוחות</w:t>
      </w:r>
      <w:r>
        <w:rPr>
          <w:rtl/>
        </w:rPr>
        <w:t>.</w:t>
      </w:r>
    </w:p>
    <w:p>
      <w:pPr>
        <w:widowControl w:val="0"/>
        <w:numPr>
          <w:ilvl w:val="3"/>
          <w:numId w:val="9"/>
        </w:numPr>
        <w:spacing w:line="300" w:lineRule="atLeast"/>
        <w:rPr>
          <w:b/>
          <w:bCs/>
          <w:rtl/>
        </w:rPr>
      </w:pPr>
      <w:r>
        <w:rPr>
          <w:b/>
          <w:bCs/>
          <w:rtl/>
        </w:rPr>
        <w:t>על המציע לציין בפרטי אנשי הקשר בחוברת ההצעה איש קשר אצל הלקוח או המעסיק.</w:t>
      </w:r>
    </w:p>
    <w:p>
      <w:pPr>
        <w:widowControl w:val="0"/>
        <w:numPr>
          <w:ilvl w:val="3"/>
          <w:numId w:val="9"/>
        </w:numPr>
        <w:spacing w:line="300" w:lineRule="atLeast"/>
        <w:rPr>
          <w:rtl/>
        </w:rPr>
      </w:pPr>
      <w:r>
        <w:rPr>
          <w:rtl/>
        </w:rPr>
        <w:t xml:space="preserve">מציע שנוקד בציון ממוצע של </w:t>
      </w:r>
      <w:r>
        <w:rPr>
          <w:rFonts w:hint="cs"/>
          <w:rtl/>
        </w:rPr>
        <w:t>25</w:t>
      </w:r>
      <w:r>
        <w:rPr>
          <w:rtl/>
        </w:rPr>
        <w:t xml:space="preserve"> נק' יקבל </w:t>
      </w:r>
      <w:r>
        <w:rPr>
          <w:rFonts w:hint="cs"/>
          <w:rtl/>
        </w:rPr>
        <w:t>100 נק' במדד</w:t>
      </w:r>
      <w:r>
        <w:rPr>
          <w:rtl/>
        </w:rPr>
        <w:t>. כל ציון נמוך מ-</w:t>
      </w:r>
      <w:r>
        <w:rPr>
          <w:rFonts w:hint="cs"/>
          <w:rtl/>
        </w:rPr>
        <w:t>25</w:t>
      </w:r>
      <w:r>
        <w:rPr>
          <w:rtl/>
        </w:rPr>
        <w:t xml:space="preserve"> נק' ינוקד באופן יחסי.</w:t>
      </w:r>
    </w:p>
    <w:p>
      <w:pPr>
        <w:widowControl w:val="0"/>
        <w:numPr>
          <w:ilvl w:val="3"/>
          <w:numId w:val="9"/>
        </w:numPr>
        <w:spacing w:line="300" w:lineRule="atLeast"/>
        <w:rPr>
          <w:rtl/>
        </w:rPr>
      </w:pPr>
      <w:r>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Pr>
          <w:rtl/>
        </w:rPr>
        <w:t>.</w:t>
      </w:r>
    </w:p>
    <w:p>
      <w:pPr>
        <w:widowControl w:val="0"/>
        <w:numPr>
          <w:ilvl w:val="3"/>
          <w:numId w:val="9"/>
        </w:numPr>
        <w:spacing w:line="300" w:lineRule="atLeast"/>
      </w:pPr>
      <w:r>
        <w:rPr>
          <w:rtl/>
        </w:rPr>
        <w:t xml:space="preserve">במידה </w:t>
      </w:r>
      <w:r>
        <w:rPr>
          <w:rFonts w:hint="cs"/>
          <w:rtl/>
        </w:rPr>
        <w:t xml:space="preserve">והמציע </w:t>
      </w:r>
      <w:r>
        <w:rPr>
          <w:rtl/>
        </w:rPr>
        <w:t xml:space="preserve">עבד עם משרד החינוך בעבר, המשרד שומר לעצמו את הזכות לתת </w:t>
      </w:r>
      <w:r>
        <w:rPr>
          <w:rFonts w:hint="cs"/>
          <w:rtl/>
        </w:rPr>
        <w:t>חוות דעת</w:t>
      </w:r>
      <w:r>
        <w:rPr>
          <w:rtl/>
        </w:rPr>
        <w:t xml:space="preserve"> על המציע</w:t>
      </w:r>
      <w:r>
        <w:rPr>
          <w:rFonts w:hint="cs"/>
          <w:rtl/>
        </w:rPr>
        <w:t xml:space="preserve"> / המנהל</w:t>
      </w:r>
      <w:r>
        <w:rPr>
          <w:rtl/>
        </w:rPr>
        <w:t xml:space="preserve"> בהתאם לאמור לעיל</w:t>
      </w:r>
      <w:r>
        <w:rPr>
          <w:rFonts w:hint="cs"/>
          <w:rtl/>
        </w:rPr>
        <w:t>, גם אם לא צויין בהצעה</w:t>
      </w:r>
      <w:r>
        <w:rPr>
          <w:rtl/>
        </w:rPr>
        <w:t>.</w:t>
      </w:r>
      <w:r>
        <w:rPr>
          <w:rFonts w:hint="cs"/>
          <w:rtl/>
        </w:rPr>
        <w:t xml:space="preserve"> </w:t>
      </w:r>
    </w:p>
    <w:p>
      <w:pPr>
        <w:widowControl w:val="0"/>
        <w:numPr>
          <w:ilvl w:val="3"/>
          <w:numId w:val="9"/>
        </w:numPr>
        <w:spacing w:line="300" w:lineRule="atLeast"/>
      </w:pPr>
      <w:r>
        <w:rPr>
          <w:rFonts w:hint="cs"/>
          <w:rtl/>
        </w:rPr>
        <w:t xml:space="preserve">בכל מקרה בו פנה המשרד לחוות דעת שתינתן מטעם משרד החינוך, יינתן משקל גבוה יותר לחוות הדעת שנתן משרד החינוך באופן הבא: במקרה של פניה לשלושה </w:t>
      </w:r>
      <w:r>
        <w:rPr>
          <w:rFonts w:hint="cs"/>
          <w:rtl/>
        </w:rPr>
        <w:lastRenderedPageBreak/>
        <w:t xml:space="preserve">לקוחות משקל חוות הדעת של משרד החינוך יעמדו על 40% ומשקל שתי חוות הדעת האחרות יעמוד על 30% כל אחת. במקרה של פניה לשני לקוחות משקל חוות הדעת של משרד החינוך יעמוד על 60% ומשקל חוות הדעת השניה יעמדו על 40%. </w:t>
      </w:r>
    </w:p>
    <w:p>
      <w:pPr>
        <w:widowControl w:val="0"/>
        <w:spacing w:line="300" w:lineRule="atLeast"/>
        <w:rPr>
          <w:rtl/>
        </w:rPr>
      </w:pPr>
    </w:p>
    <w:p>
      <w:pPr>
        <w:widowControl w:val="0"/>
        <w:spacing w:line="300" w:lineRule="atLeast"/>
        <w:rPr>
          <w:rtl/>
        </w:rPr>
      </w:pPr>
    </w:p>
    <w:p>
      <w:pPr>
        <w:widowControl w:val="0"/>
        <w:spacing w:line="300" w:lineRule="atLeast"/>
        <w:ind w:left="2269"/>
        <w:rPr>
          <w:rFonts w:ascii="David" w:hAnsi="David"/>
          <w:rtl/>
          <w:lang w:eastAsia="en-US"/>
        </w:rPr>
      </w:pPr>
      <w:r>
        <w:rPr>
          <w:rFonts w:ascii="David" w:hAnsi="David" w:hint="cs"/>
          <w:rtl/>
          <w:lang w:eastAsia="en-US"/>
        </w:rPr>
        <w:t>מובהר בזה כי חוות דעת תילקח רק מאנשי קשר שהיו לקוחות חיצוניים ולא עובדי המציע ו/או גורמים קשורים ו/או מי שהיה המעסיק של מנהל הפרוייקט בעבר.</w:t>
      </w:r>
    </w:p>
    <w:p>
      <w:pPr>
        <w:widowControl w:val="0"/>
        <w:spacing w:line="300" w:lineRule="atLeast"/>
      </w:pPr>
    </w:p>
    <w:p>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 xml:space="preserve">הכשרה וניסיון של </w:t>
      </w:r>
      <w:r>
        <w:rPr>
          <w:rFonts w:ascii="David" w:hAnsi="David"/>
          <w:b/>
          <w:bCs/>
          <w:u w:val="single"/>
          <w:rtl/>
          <w:lang w:eastAsia="en-US"/>
        </w:rPr>
        <w:t>מתאם פעילות אזורי</w:t>
      </w:r>
    </w:p>
    <w:p>
      <w:pPr>
        <w:widowControl w:val="0"/>
        <w:spacing w:before="240" w:line="300" w:lineRule="atLeast"/>
        <w:ind w:left="2269"/>
        <w:rPr>
          <w:rFonts w:ascii="David" w:hAnsi="David"/>
          <w:b/>
          <w:bCs/>
          <w:u w:val="single"/>
          <w:lang w:eastAsia="en-US"/>
        </w:rPr>
      </w:pPr>
      <w:r>
        <w:rPr>
          <w:rFonts w:ascii="David" w:hAnsi="David" w:hint="cs"/>
          <w:rtl/>
          <w:lang w:eastAsia="en-US"/>
        </w:rPr>
        <w:t xml:space="preserve">הכשרה וניסיון של </w:t>
      </w:r>
      <w:r>
        <w:rPr>
          <w:rFonts w:ascii="David" w:hAnsi="David"/>
          <w:rtl/>
          <w:lang w:eastAsia="en-US"/>
        </w:rPr>
        <w:t>מתאם פעילות אזורי</w:t>
      </w:r>
      <w:r>
        <w:rPr>
          <w:rFonts w:ascii="David" w:hAnsi="David" w:hint="cs"/>
          <w:rtl/>
          <w:lang w:eastAsia="en-US"/>
        </w:rPr>
        <w:t xml:space="preserve"> המוצע.</w:t>
      </w:r>
    </w:p>
    <w:p>
      <w:pPr>
        <w:widowControl w:val="0"/>
        <w:spacing w:line="300" w:lineRule="atLeast"/>
        <w:ind w:left="2269"/>
        <w:rPr>
          <w:rFonts w:ascii="David" w:hAnsi="David"/>
          <w:rtl/>
          <w:lang w:eastAsia="en-US"/>
        </w:rPr>
      </w:pPr>
    </w:p>
    <w:p>
      <w:pPr>
        <w:widowControl w:val="0"/>
        <w:spacing w:line="300" w:lineRule="atLeast"/>
        <w:rPr>
          <w:rFonts w:ascii="David" w:hAnsi="David"/>
          <w:rtl/>
          <w:lang w:eastAsia="en-US"/>
        </w:rPr>
      </w:pPr>
    </w:p>
    <w:p>
      <w:pPr>
        <w:widowControl w:val="0"/>
        <w:spacing w:line="300" w:lineRule="atLeast"/>
        <w:ind w:left="2269"/>
        <w:rPr>
          <w:rFonts w:ascii="David" w:hAnsi="David"/>
          <w:lang w:eastAsia="en-US"/>
        </w:rPr>
      </w:pPr>
    </w:p>
    <w:p>
      <w:pPr>
        <w:widowControl w:val="0"/>
        <w:numPr>
          <w:ilvl w:val="1"/>
          <w:numId w:val="9"/>
        </w:numPr>
        <w:spacing w:line="300" w:lineRule="atLeast"/>
        <w:rPr>
          <w:rFonts w:ascii="David" w:hAnsi="David"/>
          <w:b/>
          <w:bCs/>
          <w:u w:val="single"/>
          <w:rtl/>
          <w:lang w:eastAsia="en-US"/>
        </w:rPr>
      </w:pPr>
      <w:bookmarkStart w:id="31" w:name="_Hlk165451745"/>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55%</w:t>
      </w:r>
    </w:p>
    <w:bookmarkEnd w:id="31"/>
    <w:p>
      <w:pPr>
        <w:widowControl w:val="0"/>
        <w:spacing w:line="300" w:lineRule="atLeast"/>
        <w:ind w:left="1440" w:hanging="720"/>
        <w:rPr>
          <w:sz w:val="22"/>
          <w:rtl/>
          <w:lang w:eastAsia="en-US"/>
        </w:rPr>
      </w:pPr>
    </w:p>
    <w:p>
      <w:pPr>
        <w:widowControl w:val="0"/>
        <w:spacing w:line="300" w:lineRule="atLeast"/>
        <w:ind w:left="1417"/>
        <w:rPr>
          <w:sz w:val="22"/>
          <w:rtl/>
          <w:lang w:eastAsia="en-US"/>
        </w:rPr>
      </w:pPr>
      <w:r>
        <w:rPr>
          <w:rFonts w:hint="cs"/>
          <w:sz w:val="22"/>
          <w:rtl/>
          <w:lang w:eastAsia="en-US"/>
        </w:rPr>
        <w:t>הצעת המחיר על כל מרכיביה.</w:t>
      </w:r>
    </w:p>
    <w:p>
      <w:pPr>
        <w:widowControl w:val="0"/>
        <w:spacing w:line="300" w:lineRule="atLeast"/>
        <w:ind w:left="1417"/>
        <w:rPr>
          <w:sz w:val="22"/>
          <w:rtl/>
          <w:lang w:eastAsia="en-US"/>
        </w:rPr>
      </w:pPr>
    </w:p>
    <w:p>
      <w:pPr>
        <w:widowControl w:val="0"/>
        <w:spacing w:line="300" w:lineRule="atLeast"/>
        <w:ind w:left="1417"/>
        <w:rPr>
          <w:sz w:val="22"/>
          <w:rtl/>
          <w:lang w:eastAsia="en-US"/>
        </w:rPr>
      </w:pPr>
      <w:r>
        <w:rPr>
          <w:rFonts w:hint="cs"/>
          <w:sz w:val="22"/>
          <w:rtl/>
          <w:lang w:eastAsia="en-US"/>
        </w:rPr>
        <w:t>חישוב ציון המחיר ייעשה כדלקמן:</w:t>
      </w:r>
    </w:p>
    <w:p>
      <w:pPr>
        <w:widowControl w:val="0"/>
        <w:spacing w:line="300" w:lineRule="atLeast"/>
        <w:ind w:left="1417"/>
        <w:rPr>
          <w:sz w:val="22"/>
          <w:rtl/>
          <w:lang w:eastAsia="en-US"/>
        </w:rPr>
      </w:pPr>
    </w:p>
    <w:p>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pPr>
        <w:widowControl w:val="0"/>
        <w:spacing w:line="300" w:lineRule="atLeast"/>
        <w:ind w:left="1417"/>
        <w:rPr>
          <w:sz w:val="22"/>
          <w:rtl/>
          <w:lang w:eastAsia="en-US"/>
        </w:rPr>
      </w:pPr>
    </w:p>
    <w:p>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71552" behindDoc="0" locked="0" layoutInCell="1" allowOverlap="1">
                <wp:simplePos x="0" y="0"/>
                <wp:positionH relativeFrom="column">
                  <wp:posOffset>438150</wp:posOffset>
                </wp:positionH>
                <wp:positionV relativeFrom="paragraph">
                  <wp:posOffset>22225</wp:posOffset>
                </wp:positionV>
                <wp:extent cx="4442460" cy="1061085"/>
                <wp:effectExtent l="0" t="0" r="0" b="0"/>
                <wp:wrapNone/>
                <wp:docPr id="60"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61"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62"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63"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64"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75pt;width:349.8pt;height:83.55pt;z-index:2516715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" filled="f" stroked="f">
                  <v:textbox style="mso-fit-shape-to-text:t">
                    <w:txbxContent>
                      <w:p>
                        <w:pPr>
                          <w:jc w:val="center"/>
                          <w:rPr>
                            <w:cs/>
                          </w:rPr>
                        </w:pPr>
                        <w:r>
                          <w:rPr>
                            <w:rFonts w:hint="cs"/>
                            <w:rtl/>
                          </w:rPr>
                          <w:t xml:space="preserve">ציון מחיר משוקלל </w:t>
                        </w:r>
                        <w:r>
                          <w:rPr>
                            <w:rtl/>
                          </w:rPr>
                          <w:br/>
                        </w:r>
                        <w:r>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" filled="f" stroked="f">
                  <v:textbo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" filled="f" stroked="f">
                  <v:textbox>
                    <w:txbxContent>
                      <w:p>
                        <w:pPr>
                          <w:jc w:val="center"/>
                          <w:rPr>
                            <w:cs/>
                          </w:rPr>
                        </w:pPr>
                        <w:r>
                          <w:rPr>
                            <w:rFonts w:hint="cs"/>
                            <w:rtl/>
                          </w:rPr>
                          <w:t>=</w:t>
                        </w:r>
                      </w:p>
                    </w:txbxContent>
                  </v:textbox>
                </v:shape>
              </v:group>
            </w:pict>
          </mc:Fallback>
        </mc:AlternateContent>
      </w:r>
    </w:p>
    <w:p>
      <w:pPr>
        <w:widowControl w:val="0"/>
        <w:spacing w:line="300" w:lineRule="atLeast"/>
        <w:ind w:left="1417"/>
        <w:rPr>
          <w:sz w:val="22"/>
          <w:rtl/>
          <w:lang w:eastAsia="en-US"/>
        </w:rPr>
      </w:pPr>
    </w:p>
    <w:p>
      <w:pPr>
        <w:widowControl w:val="0"/>
        <w:spacing w:line="300" w:lineRule="atLeast"/>
        <w:ind w:left="1417"/>
        <w:rPr>
          <w:sz w:val="22"/>
          <w:rtl/>
          <w:lang w:eastAsia="en-US"/>
        </w:rPr>
      </w:pPr>
    </w:p>
    <w:p>
      <w:pPr>
        <w:widowControl w:val="0"/>
        <w:spacing w:line="300" w:lineRule="atLeast"/>
        <w:ind w:left="1417"/>
        <w:rPr>
          <w:sz w:val="22"/>
          <w:rtl/>
          <w:lang w:eastAsia="en-US"/>
        </w:rPr>
      </w:pPr>
    </w:p>
    <w:p>
      <w:pPr>
        <w:widowControl w:val="0"/>
        <w:spacing w:line="300" w:lineRule="atLeast"/>
        <w:ind w:left="1417"/>
        <w:rPr>
          <w:sz w:val="22"/>
          <w:rtl/>
          <w:lang w:eastAsia="en-US"/>
        </w:rPr>
      </w:pPr>
    </w:p>
    <w:p>
      <w:pPr>
        <w:widowControl w:val="0"/>
        <w:spacing w:line="300" w:lineRule="atLeast"/>
        <w:ind w:left="1417"/>
        <w:rPr>
          <w:sz w:val="22"/>
          <w:rtl/>
          <w:lang w:eastAsia="en-US"/>
        </w:rPr>
      </w:pPr>
    </w:p>
    <w:p>
      <w:pPr>
        <w:widowControl w:val="0"/>
        <w:spacing w:line="300" w:lineRule="atLeast"/>
        <w:ind w:left="1418"/>
        <w:rPr>
          <w:b/>
          <w:bCs/>
          <w:u w:val="single"/>
          <w:lang w:eastAsia="en-US"/>
        </w:rPr>
      </w:pPr>
    </w:p>
    <w:p>
      <w:pPr>
        <w:widowControl w:val="0"/>
        <w:spacing w:line="300" w:lineRule="atLeast"/>
        <w:ind w:left="1417"/>
        <w:rPr>
          <w:sz w:val="22"/>
          <w:rtl/>
          <w:lang w:eastAsia="en-US"/>
        </w:rPr>
      </w:pPr>
    </w:p>
    <w:p>
      <w:pPr>
        <w:widowControl w:val="0"/>
        <w:numPr>
          <w:ilvl w:val="1"/>
          <w:numId w:val="9"/>
        </w:numPr>
        <w:spacing w:line="300" w:lineRule="atLeast"/>
        <w:rPr>
          <w:sz w:val="22"/>
          <w:lang w:eastAsia="en-US"/>
        </w:rPr>
      </w:pPr>
      <w:r>
        <w:rPr>
          <w:rFonts w:hint="cs"/>
          <w:sz w:val="22"/>
          <w:rtl/>
          <w:lang w:eastAsia="en-US"/>
        </w:rPr>
        <w:t>תחילה תפתח המעטפה עליה מצויין "חוברת ההצעה " ויבדקו כל הסעיפים המתייחסים לאיכות (</w:t>
      </w:r>
      <w:r>
        <w:rPr>
          <w:rFonts w:hint="cs"/>
          <w:b/>
          <w:bCs/>
          <w:sz w:val="22"/>
          <w:rtl/>
          <w:lang w:eastAsia="en-US"/>
        </w:rPr>
        <w:t>16.1.1-16.1.3</w:t>
      </w:r>
      <w:r>
        <w:rPr>
          <w:rFonts w:hint="cs"/>
          <w:sz w:val="22"/>
          <w:rtl/>
          <w:lang w:eastAsia="en-US"/>
        </w:rPr>
        <w:t xml:space="preserve">), כפי שמפורטים בטבלת השוואת ההצעות (נספח </w:t>
      </w:r>
      <w:r>
        <w:rPr>
          <w:rFonts w:hint="cs"/>
          <w:b/>
          <w:bCs/>
          <w:sz w:val="22"/>
          <w:rtl/>
          <w:lang w:eastAsia="en-US"/>
        </w:rPr>
        <w:t xml:space="preserve">6 </w:t>
      </w:r>
      <w:r>
        <w:rPr>
          <w:rFonts w:hint="cs"/>
          <w:sz w:val="22"/>
          <w:rtl/>
          <w:lang w:eastAsia="en-US"/>
        </w:rPr>
        <w:t>א' ו- ב') וינתנו להם ציונים מתאימים.</w:t>
      </w:r>
    </w:p>
    <w:p>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Pr>
          <w:rFonts w:hint="cs"/>
          <w:b/>
          <w:bCs/>
          <w:sz w:val="22"/>
          <w:rtl/>
          <w:lang w:eastAsia="en-US"/>
        </w:rPr>
        <w:t xml:space="preserve">6 </w:t>
      </w:r>
      <w:r>
        <w:rPr>
          <w:rFonts w:hint="cs"/>
          <w:sz w:val="22"/>
          <w:rtl/>
          <w:lang w:eastAsia="en-US"/>
        </w:rPr>
        <w:t xml:space="preserve">ב' (ולא בכל אחד מתתי הסעיפים המרכיבים כל סעיף איכות שבנספח </w:t>
      </w:r>
      <w:r>
        <w:rPr>
          <w:rFonts w:hint="cs"/>
          <w:b/>
          <w:bCs/>
          <w:sz w:val="22"/>
          <w:rtl/>
          <w:lang w:eastAsia="en-US"/>
        </w:rPr>
        <w:t xml:space="preserve">6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Pr>
          <w:rFonts w:hint="cs"/>
          <w:b/>
          <w:bCs/>
          <w:sz w:val="22"/>
          <w:rtl/>
          <w:lang w:eastAsia="en-US"/>
        </w:rPr>
        <w:t xml:space="preserve">6 </w:t>
      </w:r>
      <w:r>
        <w:rPr>
          <w:rFonts w:hint="cs"/>
          <w:sz w:val="22"/>
          <w:rtl/>
          <w:lang w:eastAsia="en-US"/>
        </w:rPr>
        <w:t>ב', תפתח המעטפה עליה מצויין "הצעת מחיר" והן תבחנה גם מבחינת הצעת המחיר.</w:t>
      </w:r>
    </w:p>
    <w:p>
      <w:pPr>
        <w:widowControl w:val="0"/>
        <w:spacing w:line="300" w:lineRule="atLeast"/>
        <w:ind w:left="1417"/>
        <w:rPr>
          <w:b/>
          <w:bCs/>
          <w:sz w:val="22"/>
          <w:rtl/>
          <w:lang w:eastAsia="en-US"/>
        </w:rPr>
      </w:pPr>
    </w:p>
    <w:p>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pPr>
        <w:widowControl w:val="0"/>
        <w:spacing w:line="300" w:lineRule="atLeast"/>
        <w:ind w:left="1418"/>
        <w:rPr>
          <w:b/>
          <w:bCs/>
          <w:sz w:val="22"/>
          <w:lang w:eastAsia="en-US"/>
        </w:rPr>
      </w:pPr>
    </w:p>
    <w:p>
      <w:pPr>
        <w:widowControl w:val="0"/>
        <w:numPr>
          <w:ilvl w:val="1"/>
          <w:numId w:val="9"/>
        </w:numPr>
        <w:spacing w:line="300" w:lineRule="atLeast"/>
        <w:rPr>
          <w:sz w:val="22"/>
          <w:lang w:eastAsia="en-US"/>
        </w:rPr>
      </w:pPr>
      <w:r>
        <w:rPr>
          <w:rFonts w:hint="cs"/>
          <w:sz w:val="22"/>
          <w:rtl/>
          <w:lang w:eastAsia="en-US"/>
        </w:rPr>
        <w:t xml:space="preserve">שיקלול ההצעות יחושב על בסיס של </w:t>
      </w:r>
      <w:r>
        <w:rPr>
          <w:rFonts w:hint="cs"/>
          <w:b/>
          <w:bCs/>
          <w:sz w:val="22"/>
          <w:u w:val="single"/>
          <w:rtl/>
          <w:lang w:eastAsia="en-US"/>
        </w:rPr>
        <w:t>45%</w:t>
      </w:r>
      <w:r>
        <w:rPr>
          <w:rFonts w:hint="cs"/>
          <w:sz w:val="22"/>
          <w:rtl/>
          <w:lang w:eastAsia="en-US"/>
        </w:rPr>
        <w:t xml:space="preserve"> מהציון המשוקלל של סעיפי האיכות ועוד </w:t>
      </w:r>
      <w:r>
        <w:rPr>
          <w:rFonts w:hint="cs"/>
          <w:b/>
          <w:bCs/>
          <w:sz w:val="22"/>
          <w:u w:val="single"/>
          <w:rtl/>
          <w:lang w:eastAsia="en-US"/>
        </w:rPr>
        <w:t>55%</w:t>
      </w:r>
      <w:r>
        <w:rPr>
          <w:rFonts w:hint="cs"/>
          <w:sz w:val="22"/>
          <w:rtl/>
          <w:lang w:eastAsia="en-US"/>
        </w:rPr>
        <w:t xml:space="preserve"> מהציון המשוקלל של סעיף המחיר.</w:t>
      </w:r>
    </w:p>
    <w:p>
      <w:pPr>
        <w:widowControl w:val="0"/>
        <w:spacing w:line="300" w:lineRule="atLeast"/>
        <w:ind w:left="1418"/>
        <w:rPr>
          <w:sz w:val="22"/>
          <w:rtl/>
          <w:lang w:eastAsia="en-US"/>
        </w:rPr>
      </w:pPr>
    </w:p>
    <w:p>
      <w:pPr>
        <w:widowControl w:val="0"/>
        <w:spacing w:line="300" w:lineRule="atLeast"/>
        <w:ind w:left="720"/>
        <w:rPr>
          <w:sz w:val="22"/>
          <w:rtl/>
          <w:lang w:eastAsia="en-US"/>
        </w:rPr>
      </w:pPr>
    </w:p>
    <w:p>
      <w:pPr>
        <w:widowControl w:val="0"/>
        <w:numPr>
          <w:ilvl w:val="1"/>
          <w:numId w:val="9"/>
        </w:numPr>
        <w:spacing w:line="300" w:lineRule="atLeast"/>
        <w:rPr>
          <w:rtl/>
          <w:lang w:eastAsia="en-US"/>
        </w:rPr>
      </w:pPr>
      <w:r>
        <w:rPr>
          <w:rFonts w:hint="cs"/>
          <w:rtl/>
          <w:lang w:eastAsia="en-US"/>
        </w:rPr>
        <w:lastRenderedPageBreak/>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בשליטת אישה, תיבחר ההצעה האמורה כזוכה במכרז ובלבד שצורף לה בעת הגשתה, אישור ותצהיר.</w:t>
      </w:r>
    </w:p>
    <w:p>
      <w:pPr>
        <w:widowControl w:val="0"/>
        <w:spacing w:line="300" w:lineRule="atLeast"/>
        <w:ind w:left="720"/>
        <w:rPr>
          <w:sz w:val="22"/>
          <w:rtl/>
          <w:lang w:eastAsia="en-US"/>
        </w:rPr>
      </w:pPr>
    </w:p>
    <w:p>
      <w:pPr>
        <w:widowControl w:val="0"/>
        <w:numPr>
          <w:ilvl w:val="1"/>
          <w:numId w:val="9"/>
        </w:numPr>
        <w:spacing w:line="300" w:lineRule="atLeast"/>
        <w:rPr>
          <w:sz w:val="22"/>
          <w:rtl/>
          <w:lang w:eastAsia="en-US"/>
        </w:rPr>
      </w:pPr>
      <w:r>
        <w:rPr>
          <w:sz w:val="22"/>
          <w:rtl/>
          <w:lang w:eastAsia="en-US"/>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pPr>
        <w:widowControl w:val="0"/>
        <w:spacing w:line="300" w:lineRule="atLeast"/>
        <w:ind w:left="1418"/>
        <w:rPr>
          <w:sz w:val="22"/>
          <w:rtl/>
          <w:lang w:eastAsia="en-US"/>
        </w:rPr>
      </w:pPr>
    </w:p>
    <w:p>
      <w:pPr>
        <w:pStyle w:val="aff2"/>
        <w:widowControl w:val="0"/>
        <w:numPr>
          <w:ilvl w:val="2"/>
          <w:numId w:val="9"/>
        </w:numPr>
        <w:spacing w:line="300" w:lineRule="atLeast"/>
        <w:rPr>
          <w:sz w:val="22"/>
          <w:rtl/>
          <w:lang w:eastAsia="en-US"/>
        </w:rPr>
      </w:pPr>
      <w:r>
        <w:rPr>
          <w:sz w:val="22"/>
          <w:rtl/>
          <w:lang w:eastAsia="en-US"/>
        </w:rPr>
        <w:t>הוא משרת מילואים פעיל בעת הגשת ההצעה.</w:t>
      </w:r>
    </w:p>
    <w:p>
      <w:pPr>
        <w:pStyle w:val="aff2"/>
        <w:widowControl w:val="0"/>
        <w:numPr>
          <w:ilvl w:val="2"/>
          <w:numId w:val="9"/>
        </w:numPr>
        <w:spacing w:line="300" w:lineRule="atLeast"/>
        <w:rPr>
          <w:sz w:val="22"/>
          <w:rtl/>
          <w:lang w:eastAsia="en-US"/>
        </w:rPr>
      </w:pPr>
      <w:r>
        <w:rPr>
          <w:sz w:val="22"/>
          <w:rtl/>
          <w:lang w:eastAsia="en-US"/>
        </w:rPr>
        <w:t>העסק הוא בשליטת משרת מילואים פעיל.</w:t>
      </w:r>
    </w:p>
    <w:p>
      <w:pPr>
        <w:pStyle w:val="aff2"/>
        <w:widowControl w:val="0"/>
        <w:numPr>
          <w:ilvl w:val="2"/>
          <w:numId w:val="9"/>
        </w:numPr>
        <w:spacing w:line="300" w:lineRule="atLeast"/>
        <w:rPr>
          <w:sz w:val="22"/>
          <w:rtl/>
          <w:lang w:eastAsia="en-US"/>
        </w:rPr>
      </w:pPr>
      <w:r>
        <w:rPr>
          <w:sz w:val="22"/>
          <w:rtl/>
          <w:lang w:eastAsia="en-US"/>
        </w:rPr>
        <w:t>ההצעה אינה של חברת בת של עסק גדול.</w:t>
      </w:r>
    </w:p>
    <w:p>
      <w:pPr>
        <w:widowControl w:val="0"/>
        <w:spacing w:line="300" w:lineRule="atLeast"/>
        <w:ind w:left="1418"/>
        <w:rPr>
          <w:sz w:val="22"/>
          <w:lang w:eastAsia="en-US"/>
        </w:rPr>
      </w:pPr>
    </w:p>
    <w:p>
      <w:pPr>
        <w:pStyle w:val="aff2"/>
        <w:rPr>
          <w:sz w:val="22"/>
          <w:rtl/>
          <w:lang w:eastAsia="en-US"/>
        </w:rPr>
      </w:pPr>
    </w:p>
    <w:p>
      <w:pPr>
        <w:widowControl w:val="0"/>
        <w:numPr>
          <w:ilvl w:val="1"/>
          <w:numId w:val="9"/>
        </w:numPr>
        <w:spacing w:line="300" w:lineRule="atLeast"/>
        <w:rPr>
          <w:sz w:val="22"/>
          <w:lang w:eastAsia="en-US"/>
        </w:rPr>
      </w:pPr>
      <w:r>
        <w:rPr>
          <w:rFonts w:hint="cs"/>
          <w:sz w:val="22"/>
          <w:rtl/>
          <w:lang w:eastAsia="en-US"/>
        </w:rPr>
        <w:t xml:space="preserve">בנספח </w:t>
      </w:r>
      <w:r>
        <w:rPr>
          <w:rFonts w:hint="cs"/>
          <w:b/>
          <w:bCs/>
          <w:sz w:val="22"/>
          <w:rtl/>
          <w:lang w:eastAsia="en-US"/>
        </w:rPr>
        <w:t>6</w:t>
      </w:r>
      <w:r>
        <w:rPr>
          <w:rFonts w:hint="cs"/>
          <w:sz w:val="22"/>
          <w:rtl/>
          <w:lang w:eastAsia="en-US"/>
        </w:rPr>
        <w:t xml:space="preserve"> למכרז מובאת טבלת השוואת הצעות, לרבות המשקל היחסי של כל סעיף.</w:t>
      </w:r>
    </w:p>
    <w:p>
      <w:pPr>
        <w:widowControl w:val="0"/>
        <w:spacing w:line="300" w:lineRule="atLeast"/>
        <w:ind w:left="709"/>
        <w:rPr>
          <w:b/>
          <w:bCs/>
          <w:sz w:val="28"/>
          <w:szCs w:val="28"/>
          <w:u w:val="single"/>
        </w:rPr>
      </w:pPr>
    </w:p>
    <w:p>
      <w:pPr>
        <w:widowControl w:val="0"/>
        <w:spacing w:line="300" w:lineRule="atLeast"/>
        <w:ind w:left="709"/>
        <w:rPr>
          <w:b/>
          <w:bCs/>
          <w:sz w:val="28"/>
          <w:szCs w:val="28"/>
          <w:u w:val="single"/>
        </w:rPr>
      </w:pPr>
    </w:p>
    <w:p>
      <w:pPr>
        <w:widowControl w:val="0"/>
        <w:numPr>
          <w:ilvl w:val="0"/>
          <w:numId w:val="9"/>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משך הבדיקה ותקפות ההצעה</w:t>
      </w:r>
    </w:p>
    <w:p>
      <w:pPr>
        <w:widowControl w:val="0"/>
        <w:spacing w:line="300" w:lineRule="atLeast"/>
        <w:rPr>
          <w:rFonts w:ascii="David" w:hAnsi="David"/>
          <w:rtl/>
          <w:lang w:eastAsia="en-US"/>
        </w:rPr>
      </w:pPr>
    </w:p>
    <w:p>
      <w:pPr>
        <w:widowControl w:val="0"/>
        <w:numPr>
          <w:ilvl w:val="1"/>
          <w:numId w:val="9"/>
        </w:numPr>
        <w:spacing w:line="300" w:lineRule="atLeast"/>
        <w:ind w:left="720"/>
        <w:rPr>
          <w:sz w:val="22"/>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pPr>
        <w:widowControl w:val="0"/>
        <w:spacing w:line="300" w:lineRule="atLeast"/>
        <w:ind w:left="720"/>
        <w:rPr>
          <w:sz w:val="22"/>
          <w:rtl/>
          <w:lang w:eastAsia="en-US"/>
        </w:rPr>
      </w:pPr>
    </w:p>
    <w:p>
      <w:pPr>
        <w:widowControl w:val="0"/>
        <w:numPr>
          <w:ilvl w:val="1"/>
          <w:numId w:val="9"/>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וועדת המכרזים.</w:t>
      </w:r>
    </w:p>
    <w:p>
      <w:pPr>
        <w:widowControl w:val="0"/>
        <w:spacing w:line="300" w:lineRule="atLeast"/>
        <w:rPr>
          <w:sz w:val="22"/>
          <w:rtl/>
          <w:lang w:eastAsia="en-US"/>
        </w:rPr>
      </w:pPr>
    </w:p>
    <w:p>
      <w:pPr>
        <w:widowControl w:val="0"/>
        <w:spacing w:line="300" w:lineRule="atLeast"/>
        <w:ind w:left="720"/>
        <w:rPr>
          <w:sz w:val="22"/>
          <w:rtl/>
          <w:lang w:eastAsia="en-US"/>
        </w:rPr>
      </w:pPr>
    </w:p>
    <w:p>
      <w:pPr>
        <w:widowControl w:val="0"/>
        <w:numPr>
          <w:ilvl w:val="0"/>
          <w:numId w:val="9"/>
        </w:numPr>
        <w:spacing w:line="300" w:lineRule="atLeast"/>
        <w:rPr>
          <w:b/>
          <w:bCs/>
          <w:sz w:val="28"/>
          <w:szCs w:val="28"/>
          <w:u w:val="single"/>
          <w:rtl/>
        </w:rPr>
      </w:pPr>
      <w:r>
        <w:rPr>
          <w:b/>
          <w:bCs/>
          <w:sz w:val="28"/>
          <w:szCs w:val="28"/>
          <w:u w:val="single"/>
          <w:rtl/>
        </w:rPr>
        <w:t>תקופת התקשרות</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lang w:eastAsia="en-US"/>
        </w:rPr>
      </w:pPr>
      <w:bookmarkStart w:id="32" w:name="_Hlk165451470"/>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הספק</w:t>
      </w:r>
      <w:r>
        <w:rPr>
          <w:rFonts w:ascii="David" w:hAnsi="David"/>
          <w:rtl/>
          <w:lang w:eastAsia="en-US"/>
        </w:rPr>
        <w:t xml:space="preserve">, לפי קביעת המשרד, ותסתיים בתום </w:t>
      </w:r>
      <w:r>
        <w:rPr>
          <w:rFonts w:ascii="David" w:hAnsi="David" w:hint="cs"/>
          <w:rtl/>
          <w:lang w:eastAsia="en-US"/>
        </w:rPr>
        <w:t>שנה, אלא אם כן הוחלט על תקופה קצרה יותר ע"י וועדת המכרזים.</w:t>
      </w:r>
    </w:p>
    <w:p>
      <w:pPr>
        <w:widowControl w:val="0"/>
        <w:spacing w:line="300" w:lineRule="atLeast"/>
        <w:ind w:left="709"/>
        <w:rPr>
          <w:rFonts w:ascii="David" w:hAnsi="David"/>
          <w:lang w:eastAsia="en-US"/>
        </w:rPr>
      </w:pPr>
    </w:p>
    <w:p>
      <w:pPr>
        <w:widowControl w:val="0"/>
        <w:numPr>
          <w:ilvl w:val="1"/>
          <w:numId w:val="9"/>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4 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 או חלק משנה.</w:t>
      </w:r>
    </w:p>
    <w:bookmarkEnd w:id="32"/>
    <w:p>
      <w:pPr>
        <w:widowControl w:val="0"/>
        <w:spacing w:line="300" w:lineRule="atLeast"/>
        <w:rPr>
          <w:rFonts w:ascii="David" w:hAnsi="David"/>
          <w:rtl/>
          <w:lang w:eastAsia="en-US"/>
        </w:rPr>
      </w:pPr>
    </w:p>
    <w:p>
      <w:pPr>
        <w:widowControl w:val="0"/>
        <w:numPr>
          <w:ilvl w:val="1"/>
          <w:numId w:val="9"/>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lang w:eastAsia="en-US"/>
        </w:rPr>
      </w:pPr>
      <w:r>
        <w:rPr>
          <w:rFonts w:ascii="David" w:hAnsi="David"/>
          <w:rtl/>
          <w:lang w:eastAsia="en-US"/>
        </w:rPr>
        <w:t xml:space="preserve">תוקף ההתקשרות כפוף לחוק התקציב. </w:t>
      </w:r>
    </w:p>
    <w:p>
      <w:pPr>
        <w:widowControl w:val="0"/>
        <w:spacing w:line="300" w:lineRule="atLeast"/>
        <w:rPr>
          <w:rFonts w:ascii="David" w:hAnsi="David"/>
          <w:rtl/>
          <w:lang w:eastAsia="en-US"/>
        </w:rPr>
      </w:pPr>
    </w:p>
    <w:p>
      <w:pPr>
        <w:widowControl w:val="0"/>
        <w:spacing w:line="300" w:lineRule="atLeast"/>
        <w:ind w:left="709"/>
        <w:rPr>
          <w:rFonts w:ascii="David" w:hAnsi="David"/>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spacing w:line="300" w:lineRule="atLeast"/>
        <w:rPr>
          <w:rtl/>
          <w:lang w:eastAsia="en-US"/>
        </w:rPr>
      </w:pPr>
    </w:p>
    <w:p>
      <w:pPr>
        <w:widowControl w:val="0"/>
        <w:numPr>
          <w:ilvl w:val="0"/>
          <w:numId w:val="9"/>
        </w:numPr>
        <w:spacing w:line="300" w:lineRule="atLeast"/>
        <w:rPr>
          <w:b/>
          <w:bCs/>
          <w:sz w:val="28"/>
          <w:szCs w:val="28"/>
          <w:u w:val="single"/>
        </w:rPr>
      </w:pPr>
      <w:r>
        <w:rPr>
          <w:b/>
          <w:bCs/>
          <w:sz w:val="28"/>
          <w:szCs w:val="28"/>
          <w:u w:val="single"/>
          <w:rtl/>
        </w:rPr>
        <w:lastRenderedPageBreak/>
        <w:t>המשרד רשאי</w:t>
      </w:r>
    </w:p>
    <w:p>
      <w:pPr>
        <w:widowControl w:val="0"/>
        <w:spacing w:line="300" w:lineRule="atLeast"/>
        <w:rPr>
          <w:b/>
          <w:bCs/>
          <w:position w:val="2"/>
          <w:sz w:val="22"/>
          <w:u w:val="single"/>
          <w:rtl/>
          <w:lang w:eastAsia="en-US"/>
        </w:rPr>
      </w:pPr>
    </w:p>
    <w:p>
      <w:pPr>
        <w:widowControl w:val="0"/>
        <w:numPr>
          <w:ilvl w:val="1"/>
          <w:numId w:val="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pPr>
        <w:widowControl w:val="0"/>
        <w:spacing w:line="300" w:lineRule="atLeast"/>
        <w:ind w:left="720" w:hanging="720"/>
        <w:rPr>
          <w:sz w:val="20"/>
          <w:szCs w:val="20"/>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p>
    <w:p>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pPr>
        <w:widowControl w:val="0"/>
        <w:spacing w:line="300" w:lineRule="atLeast"/>
        <w:ind w:left="709"/>
        <w:rPr>
          <w:rFonts w:ascii="David" w:hAnsi="David"/>
          <w:lang w:eastAsia="en-US"/>
        </w:rPr>
      </w:pPr>
    </w:p>
    <w:p>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pPr>
        <w:pStyle w:val="aff2"/>
        <w:rPr>
          <w:rFonts w:ascii="David" w:hAnsi="David"/>
          <w:rtl/>
          <w:lang w:eastAsia="en-US"/>
        </w:rPr>
      </w:pPr>
    </w:p>
    <w:p>
      <w:pPr>
        <w:widowControl w:val="0"/>
        <w:numPr>
          <w:ilvl w:val="1"/>
          <w:numId w:val="9"/>
        </w:numPr>
        <w:spacing w:line="300" w:lineRule="atLeast"/>
        <w:rPr>
          <w:rFonts w:ascii="David" w:hAnsi="David"/>
          <w:lang w:eastAsia="en-US"/>
        </w:rPr>
      </w:pPr>
      <w:r>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כספק במכרז המספק שירותים המבוקשים במכרז זה.</w:t>
      </w:r>
    </w:p>
    <w:p>
      <w:pPr>
        <w:pStyle w:val="aff2"/>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hint="cs"/>
          <w:rtl/>
          <w:lang w:eastAsia="en-US"/>
        </w:rPr>
        <w:t>אם וככל שהמציע הינו ספק השרותים נשוא המכרז שקדם למכרז זה או התקשרות אחרת, אזי חוות הדעת של המשרד תהיה מכריעה מבין חוות הדעת.</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לצמצם או להרחיב את היקף הפעילות.</w:t>
      </w:r>
    </w:p>
    <w:p>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pPr>
        <w:widowControl w:val="0"/>
        <w:spacing w:line="300" w:lineRule="atLeast"/>
        <w:rPr>
          <w:rFonts w:ascii="David" w:hAnsi="David"/>
          <w:rtl/>
          <w:lang w:eastAsia="en-US"/>
        </w:rPr>
      </w:pPr>
    </w:p>
    <w:p>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pPr>
        <w:widowControl w:val="0"/>
        <w:numPr>
          <w:ilvl w:val="1"/>
          <w:numId w:val="9"/>
        </w:numPr>
        <w:spacing w:line="300" w:lineRule="atLeast"/>
        <w:rPr>
          <w:rFonts w:ascii="David" w:hAnsi="David"/>
          <w:rtl/>
          <w:lang w:eastAsia="en-US"/>
        </w:rPr>
      </w:pPr>
      <w:r>
        <w:rPr>
          <w:rFonts w:ascii="David" w:hAnsi="David"/>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 xml:space="preserve">הספק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הספק, ולא של המשרד. </w:t>
      </w:r>
      <w:r>
        <w:rPr>
          <w:rFonts w:ascii="David" w:hAnsi="David"/>
          <w:b/>
          <w:bCs/>
          <w:rtl/>
          <w:lang w:eastAsia="en-US"/>
        </w:rPr>
        <w:t xml:space="preserve">בנספח </w:t>
      </w:r>
      <w:r>
        <w:rPr>
          <w:rFonts w:ascii="David" w:hAnsi="David" w:hint="cs"/>
          <w:b/>
          <w:bCs/>
          <w:rtl/>
          <w:lang w:eastAsia="en-US"/>
        </w:rPr>
        <w:t xml:space="preserve">5 </w:t>
      </w:r>
      <w:r>
        <w:rPr>
          <w:rFonts w:ascii="David" w:hAnsi="David"/>
          <w:b/>
          <w:bCs/>
          <w:rtl/>
          <w:lang w:eastAsia="en-US"/>
        </w:rPr>
        <w:t>חוברת ההצעה</w:t>
      </w:r>
      <w:r>
        <w:rPr>
          <w:rFonts w:ascii="David" w:hAnsi="David"/>
          <w:rtl/>
          <w:lang w:eastAsia="en-US"/>
        </w:rPr>
        <w:t xml:space="preserve"> מובאת רשימת חוקי ההעסקה על פיהם יפעל הספק.</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pPr>
        <w:widowControl w:val="0"/>
        <w:spacing w:line="300" w:lineRule="atLeast"/>
        <w:rPr>
          <w:rFonts w:ascii="David" w:hAnsi="David"/>
          <w:rtl/>
          <w:lang w:eastAsia="en-US"/>
        </w:rPr>
      </w:pPr>
    </w:p>
    <w:p>
      <w:pPr>
        <w:widowControl w:val="0"/>
        <w:numPr>
          <w:ilvl w:val="1"/>
          <w:numId w:val="9"/>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הספק, יחשב הספק, כספק עצמאי לכל דבר ועניין. </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הספק מתחייב שלא להעסיק אדם המועסק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pPr>
        <w:widowControl w:val="0"/>
        <w:spacing w:line="300" w:lineRule="atLeast"/>
        <w:rPr>
          <w:rFonts w:ascii="David" w:hAnsi="David"/>
          <w:rtl/>
          <w:lang w:eastAsia="en-US"/>
        </w:rPr>
      </w:pPr>
    </w:p>
    <w:p>
      <w:pPr>
        <w:widowControl w:val="0"/>
        <w:numPr>
          <w:ilvl w:val="1"/>
          <w:numId w:val="9"/>
        </w:numPr>
        <w:spacing w:line="300" w:lineRule="atLeast"/>
        <w:rPr>
          <w:position w:val="2"/>
          <w:rtl/>
          <w:lang w:eastAsia="en-US"/>
        </w:rPr>
      </w:pPr>
      <w:r>
        <w:rPr>
          <w:rFonts w:hint="cs"/>
          <w:position w:val="2"/>
          <w:rtl/>
          <w:lang w:eastAsia="en-US"/>
        </w:rPr>
        <w:t>הספק בלבד יהיה אחראי כלפי כל המועסקים על ידיו על פי כל דין.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lang w:eastAsia="en-US"/>
        </w:rPr>
      </w:pPr>
      <w:r>
        <w:rPr>
          <w:rFonts w:ascii="David" w:hAnsi="David"/>
          <w:rtl/>
          <w:lang w:eastAsia="en-US"/>
        </w:rPr>
        <w:t>הספק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 xml:space="preserve">חובת הספק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ספק</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pPr>
        <w:widowControl w:val="0"/>
        <w:spacing w:line="300" w:lineRule="atLeast"/>
        <w:ind w:left="709"/>
        <w:rPr>
          <w:rFonts w:ascii="David" w:hAnsi="David"/>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הספק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40"/>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אין הספק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40"/>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ספק אחר, והספק</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pPr>
        <w:widowControl w:val="0"/>
        <w:spacing w:line="300" w:lineRule="atLeast"/>
        <w:ind w:left="709"/>
        <w:rPr>
          <w:rFonts w:ascii="David" w:hAnsi="David"/>
          <w:lang w:eastAsia="en-US"/>
        </w:rPr>
      </w:pPr>
    </w:p>
    <w:p>
      <w:pPr>
        <w:widowControl w:val="0"/>
        <w:numPr>
          <w:ilvl w:val="1"/>
          <w:numId w:val="9"/>
        </w:numPr>
        <w:spacing w:line="300" w:lineRule="atLeast"/>
        <w:rPr>
          <w:rFonts w:ascii="David" w:hAnsi="David"/>
          <w:lang w:eastAsia="en-US"/>
        </w:rPr>
      </w:pPr>
      <w:r>
        <w:rPr>
          <w:rFonts w:ascii="David" w:hAnsi="David" w:hint="cs"/>
          <w:rtl/>
          <w:lang w:eastAsia="en-US"/>
        </w:rPr>
        <w:t xml:space="preserve">הספק מתחייב לספק את השרות או הטובין בכל עת, לרבות </w:t>
      </w:r>
      <w:r>
        <w:rPr>
          <w:rFonts w:ascii="David" w:hAnsi="David" w:hint="cs"/>
          <w:b/>
          <w:bCs/>
          <w:rtl/>
          <w:lang w:eastAsia="en-US"/>
        </w:rPr>
        <w:t>בשעת חרום,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pPr>
        <w:widowControl w:val="0"/>
        <w:spacing w:line="300" w:lineRule="atLeast"/>
        <w:rPr>
          <w:rFonts w:ascii="David" w:hAnsi="David"/>
          <w:rtl/>
          <w:lang w:eastAsia="en-US"/>
        </w:rPr>
      </w:pPr>
    </w:p>
    <w:p>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pPr>
        <w:widowControl w:val="0"/>
        <w:spacing w:line="300" w:lineRule="atLeast"/>
        <w:rPr>
          <w:rFonts w:ascii="David" w:hAnsi="David"/>
          <w:rtl/>
          <w:lang w:eastAsia="en-US"/>
        </w:rPr>
      </w:pPr>
      <w:r>
        <w:rPr>
          <w:rFonts w:ascii="David" w:hAnsi="David"/>
          <w:rtl/>
          <w:lang w:eastAsia="en-US"/>
        </w:rPr>
        <w:tab/>
      </w:r>
    </w:p>
    <w:p>
      <w:pPr>
        <w:widowControl w:val="0"/>
        <w:numPr>
          <w:ilvl w:val="1"/>
          <w:numId w:val="9"/>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האגף למחוננים ומצטיינים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pPr>
        <w:widowControl w:val="0"/>
        <w:spacing w:line="300" w:lineRule="atLeast"/>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pPr>
        <w:pStyle w:val="31"/>
        <w:widowControl w:val="0"/>
        <w:bidi/>
        <w:spacing w:line="300" w:lineRule="atLeast"/>
        <w:ind w:firstLine="60"/>
        <w:jc w:val="both"/>
        <w:rPr>
          <w:rFonts w:cs="MS Sans Serif"/>
          <w:rtl/>
          <w:lang w:eastAsia="en-US"/>
        </w:rPr>
      </w:pPr>
    </w:p>
    <w:p>
      <w:pPr>
        <w:widowControl w:val="0"/>
        <w:numPr>
          <w:ilvl w:val="1"/>
          <w:numId w:val="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בפרוייקט הקשור למכרז, מסיבות של חוסר התאמה או חוסר תפקוד. </w:t>
      </w:r>
    </w:p>
    <w:p>
      <w:pPr>
        <w:widowControl w:val="0"/>
        <w:spacing w:line="300" w:lineRule="atLeast"/>
        <w:rPr>
          <w:rtl/>
          <w:lang w:eastAsia="en-US"/>
        </w:rPr>
      </w:pPr>
    </w:p>
    <w:p>
      <w:pPr>
        <w:widowControl w:val="0"/>
        <w:numPr>
          <w:ilvl w:val="1"/>
          <w:numId w:val="9"/>
        </w:numPr>
        <w:spacing w:line="300" w:lineRule="atLeast"/>
        <w:rPr>
          <w:rtl/>
          <w:lang w:eastAsia="en-US"/>
        </w:rPr>
      </w:pPr>
      <w:r>
        <w:rPr>
          <w:rFonts w:hint="cs"/>
          <w:rtl/>
          <w:lang w:eastAsia="en-US"/>
        </w:rPr>
        <w:t xml:space="preserve">פיקוח מטעם המשרד לא משחרר את הספק מהתחייבויותיו ואחריותו כלפי המשרד למילוי כל תנאי מכרז זה. </w:t>
      </w:r>
    </w:p>
    <w:p>
      <w:pPr>
        <w:widowControl w:val="0"/>
        <w:spacing w:line="300" w:lineRule="atLeast"/>
        <w:rPr>
          <w:rtl/>
          <w:lang w:eastAsia="en-US"/>
        </w:rPr>
      </w:pPr>
    </w:p>
    <w:p>
      <w:pPr>
        <w:widowControl w:val="0"/>
        <w:numPr>
          <w:ilvl w:val="1"/>
          <w:numId w:val="9"/>
        </w:numPr>
        <w:spacing w:line="300" w:lineRule="atLeast"/>
        <w:rPr>
          <w:rtl/>
          <w:lang w:eastAsia="en-US"/>
        </w:rPr>
      </w:pPr>
      <w:r>
        <w:rPr>
          <w:rFonts w:hint="cs"/>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לספק להורות או לכל אחד מהמועסקים על ידו, אלא אמצעי ביצוע הוראות מכרז זה במלואו.</w:t>
      </w: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numPr>
          <w:ilvl w:val="0"/>
          <w:numId w:val="9"/>
        </w:numPr>
        <w:spacing w:line="300" w:lineRule="atLeast"/>
        <w:rPr>
          <w:b/>
          <w:bCs/>
          <w:sz w:val="28"/>
          <w:szCs w:val="28"/>
          <w:u w:val="single"/>
        </w:rPr>
      </w:pPr>
      <w:r>
        <w:rPr>
          <w:rFonts w:hint="cs"/>
          <w:b/>
          <w:bCs/>
          <w:sz w:val="28"/>
          <w:szCs w:val="28"/>
          <w:u w:val="single"/>
          <w:rtl/>
        </w:rPr>
        <w:t>ניגוד עניינים</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הספק יחתים את עובדיו וכן כל עובד אשר יחליף במהלך ההתקשרות עובד קיים על הצהרה ברוח זאת.</w:t>
      </w:r>
    </w:p>
    <w:p>
      <w:pPr>
        <w:widowControl w:val="0"/>
        <w:spacing w:line="300" w:lineRule="atLeast"/>
        <w:ind w:left="709"/>
        <w:rPr>
          <w:rFonts w:ascii="David" w:hAnsi="David"/>
          <w:rtl/>
          <w:lang w:eastAsia="en-US"/>
        </w:rPr>
      </w:pPr>
    </w:p>
    <w:p>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pPr>
        <w:widowControl w:val="0"/>
        <w:spacing w:line="300" w:lineRule="atLeast"/>
        <w:rPr>
          <w:rFonts w:ascii="David" w:hAnsi="David"/>
          <w:sz w:val="28"/>
          <w:szCs w:val="28"/>
          <w:rtl/>
          <w:lang w:eastAsia="en-US"/>
        </w:rPr>
      </w:pPr>
    </w:p>
    <w:p>
      <w:pPr>
        <w:widowControl w:val="0"/>
        <w:spacing w:line="300" w:lineRule="atLeast"/>
        <w:rPr>
          <w:rFonts w:ascii="David" w:hAnsi="David"/>
          <w:sz w:val="28"/>
          <w:szCs w:val="28"/>
          <w:rtl/>
          <w:lang w:eastAsia="en-US"/>
        </w:rPr>
      </w:pPr>
    </w:p>
    <w:p>
      <w:pPr>
        <w:widowControl w:val="0"/>
        <w:numPr>
          <w:ilvl w:val="0"/>
          <w:numId w:val="9"/>
        </w:numPr>
        <w:spacing w:line="300" w:lineRule="atLeast"/>
        <w:rPr>
          <w:b/>
          <w:bCs/>
          <w:sz w:val="28"/>
          <w:szCs w:val="28"/>
          <w:u w:val="single"/>
        </w:rPr>
      </w:pPr>
      <w:r>
        <w:rPr>
          <w:rFonts w:hint="cs"/>
          <w:b/>
          <w:bCs/>
          <w:sz w:val="28"/>
          <w:szCs w:val="28"/>
          <w:u w:val="single"/>
          <w:rtl/>
        </w:rPr>
        <w:t>הפרות יסודיות</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ככל שיוחלט על הפסקת התקשרות, הספק יקבל תשלום רק עבור העבודה שבוצעה עד לאותו מועד ובתנאי שניתן לעשות שימוש בתוצריה, עפ"י שיקול דעתו הבלעדי של המשרד.</w:t>
      </w:r>
    </w:p>
    <w:p>
      <w:pPr>
        <w:widowControl w:val="0"/>
        <w:spacing w:line="300" w:lineRule="atLeast"/>
        <w:rPr>
          <w:b/>
          <w:bCs/>
          <w:sz w:val="28"/>
          <w:szCs w:val="28"/>
          <w:u w:val="single"/>
          <w:lang w:eastAsia="en-US"/>
        </w:rPr>
      </w:pPr>
    </w:p>
    <w:p>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הספק) יידרש</w:t>
      </w:r>
    </w:p>
    <w:p>
      <w:pPr>
        <w:widowControl w:val="0"/>
        <w:spacing w:line="300" w:lineRule="atLeast"/>
        <w:rPr>
          <w:position w:val="2"/>
          <w:sz w:val="22"/>
          <w:rtl/>
          <w:lang w:eastAsia="en-US"/>
        </w:rPr>
      </w:pPr>
    </w:p>
    <w:p>
      <w:pPr>
        <w:widowControl w:val="0"/>
        <w:numPr>
          <w:ilvl w:val="1"/>
          <w:numId w:val="9"/>
        </w:numPr>
        <w:spacing w:line="300" w:lineRule="atLeast"/>
        <w:rPr>
          <w:position w:val="2"/>
          <w:sz w:val="22"/>
          <w:lang w:eastAsia="en-US"/>
        </w:rPr>
      </w:pPr>
      <w:r>
        <w:rPr>
          <w:rFonts w:hint="cs"/>
          <w:position w:val="2"/>
          <w:sz w:val="22"/>
          <w:rtl/>
          <w:lang w:eastAsia="en-US"/>
        </w:rPr>
        <w:t>לחתום על ההסכם המצ"ב בדבר ביצוע השירותים בהתאם לדרישות המכרז ופרטי הצעתו שיאושרו ע"י המשרד.</w:t>
      </w:r>
    </w:p>
    <w:p>
      <w:pPr>
        <w:widowControl w:val="0"/>
        <w:spacing w:line="300" w:lineRule="atLeast"/>
        <w:rPr>
          <w:position w:val="2"/>
          <w:sz w:val="22"/>
          <w:rtl/>
          <w:lang w:eastAsia="en-US"/>
        </w:rPr>
      </w:pPr>
    </w:p>
    <w:p>
      <w:pPr>
        <w:widowControl w:val="0"/>
        <w:numPr>
          <w:ilvl w:val="1"/>
          <w:numId w:val="9"/>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4" w:history="1">
        <w:r>
          <w:rPr>
            <w:b/>
            <w:bCs/>
            <w:color w:val="0000FF"/>
            <w:u w:val="single"/>
          </w:rPr>
          <w:t>www.foi.gov.il</w:t>
        </w:r>
      </w:hyperlink>
      <w:r>
        <w:rPr>
          <w:rFonts w:hint="cs"/>
          <w:rtl/>
        </w:rPr>
        <w:t>, וזאת בתוך חודש ימים מיום חתימתו.</w:t>
      </w:r>
    </w:p>
    <w:p>
      <w:pPr>
        <w:pStyle w:val="aff2"/>
        <w:widowControl w:val="0"/>
        <w:rPr>
          <w:rtl/>
        </w:rPr>
      </w:pPr>
    </w:p>
    <w:p>
      <w:pPr>
        <w:widowControl w:val="0"/>
        <w:overflowPunct/>
        <w:autoSpaceDE/>
        <w:adjustRightInd/>
        <w:spacing w:line="300" w:lineRule="atLeast"/>
        <w:ind w:left="1417"/>
        <w:textAlignment w:val="auto"/>
        <w:rPr>
          <w:rtl/>
        </w:rPr>
      </w:pPr>
      <w:r>
        <w:rPr>
          <w:rFonts w:hint="cs"/>
          <w:rtl/>
        </w:rPr>
        <w:t>ההתקשרות תפורסם בנוסחה המלא והסופי והפרסום יחול על כל תוספת או תיקון של ההתקשרות שנעשו לאחר שפורסמה ההתקשרות.</w:t>
      </w:r>
    </w:p>
    <w:p>
      <w:pPr>
        <w:widowControl w:val="0"/>
        <w:overflowPunct/>
        <w:autoSpaceDE/>
        <w:adjustRightInd/>
        <w:spacing w:line="300" w:lineRule="atLeast"/>
        <w:ind w:left="1417"/>
        <w:textAlignment w:val="auto"/>
        <w:rPr>
          <w:rtl/>
        </w:rPr>
      </w:pPr>
      <w:bookmarkStart w:id="33" w:name="_Ref387819302"/>
    </w:p>
    <w:p>
      <w:pPr>
        <w:widowControl w:val="0"/>
        <w:overflowPunct/>
        <w:autoSpaceDE/>
        <w:adjustRightInd/>
        <w:spacing w:line="300" w:lineRule="atLeast"/>
        <w:ind w:left="1417"/>
        <w:textAlignment w:val="auto"/>
        <w:rPr>
          <w:rtl/>
        </w:rPr>
      </w:pPr>
      <w:r>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bookmarkEnd w:id="33"/>
    </w:p>
    <w:p>
      <w:pPr>
        <w:widowControl w:val="0"/>
        <w:overflowPunct/>
        <w:autoSpaceDE/>
        <w:adjustRightInd/>
        <w:spacing w:line="300" w:lineRule="atLeast"/>
        <w:ind w:left="1417"/>
        <w:textAlignment w:val="auto"/>
        <w:rPr>
          <w:rtl/>
        </w:rPr>
      </w:pPr>
      <w:bookmarkStart w:id="34" w:name="_Ref387819170"/>
    </w:p>
    <w:p>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34"/>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pPr>
              <w:widowControl w:val="0"/>
              <w:spacing w:line="300" w:lineRule="atLeast"/>
              <w:jc w:val="center"/>
              <w:textAlignment w:val="auto"/>
              <w:rPr>
                <w:b/>
                <w:bCs/>
              </w:rPr>
            </w:pPr>
            <w:r>
              <w:rPr>
                <w:rFonts w:hint="cs"/>
                <w:b/>
                <w:bCs/>
                <w:rtl/>
              </w:rPr>
              <w:t>העילה לאי חשיפתו (ציון הסעיף הרלוונטי מכח חוק חופש המידע, התנ"ח – 1998)</w:t>
            </w:r>
          </w:p>
        </w:tc>
      </w:tr>
      <w:tr>
        <w:tc>
          <w:tcPr>
            <w:tcW w:w="4927" w:type="dxa"/>
            <w:tcBorders>
              <w:top w:val="single" w:sz="18" w:space="0" w:color="auto"/>
              <w:left w:val="single" w:sz="18" w:space="0" w:color="auto"/>
              <w:bottom w:val="single" w:sz="4" w:space="0" w:color="auto"/>
              <w:right w:val="single" w:sz="4" w:space="0" w:color="auto"/>
            </w:tcBorders>
            <w:shd w:val="clear" w:color="auto" w:fill="auto"/>
          </w:tcPr>
          <w:p>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pPr>
              <w:widowControl w:val="0"/>
              <w:spacing w:line="300" w:lineRule="atLeast"/>
              <w:textAlignment w:val="auto"/>
            </w:pPr>
          </w:p>
        </w:tc>
      </w:tr>
      <w:tr>
        <w:tc>
          <w:tcPr>
            <w:tcW w:w="4927" w:type="dxa"/>
            <w:tcBorders>
              <w:top w:val="single" w:sz="4" w:space="0" w:color="auto"/>
              <w:left w:val="single" w:sz="18" w:space="0" w:color="auto"/>
              <w:bottom w:val="single" w:sz="18" w:space="0" w:color="auto"/>
              <w:right w:val="single" w:sz="4" w:space="0" w:color="auto"/>
            </w:tcBorders>
            <w:shd w:val="clear" w:color="auto" w:fill="auto"/>
          </w:tcPr>
          <w:p>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pPr>
              <w:widowControl w:val="0"/>
              <w:spacing w:line="300" w:lineRule="atLeast"/>
              <w:textAlignment w:val="auto"/>
            </w:pPr>
          </w:p>
        </w:tc>
      </w:tr>
    </w:tbl>
    <w:p>
      <w:pPr>
        <w:widowControl w:val="0"/>
        <w:spacing w:line="300" w:lineRule="atLeast"/>
        <w:ind w:left="1417"/>
        <w:textAlignment w:val="auto"/>
        <w:rPr>
          <w:rtl/>
        </w:rPr>
      </w:pPr>
    </w:p>
    <w:p>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pPr>
        <w:widowControl w:val="0"/>
        <w:spacing w:line="300" w:lineRule="atLeast"/>
        <w:rPr>
          <w:position w:val="2"/>
          <w:sz w:val="22"/>
          <w:rtl/>
          <w:lang w:eastAsia="en-US"/>
        </w:rPr>
      </w:pPr>
      <w:r>
        <w:rPr>
          <w:position w:val="2"/>
          <w:sz w:val="22"/>
          <w:rtl/>
          <w:lang w:eastAsia="en-US"/>
        </w:rPr>
        <w:br w:type="page"/>
      </w:r>
    </w:p>
    <w:p>
      <w:pPr>
        <w:widowControl w:val="0"/>
        <w:spacing w:line="300" w:lineRule="atLeast"/>
        <w:rPr>
          <w:position w:val="2"/>
          <w:sz w:val="22"/>
          <w:rtl/>
          <w:lang w:eastAsia="en-US"/>
        </w:rPr>
      </w:pPr>
    </w:p>
    <w:p>
      <w:pPr>
        <w:widowControl w:val="0"/>
        <w:spacing w:line="300" w:lineRule="atLeast"/>
        <w:ind w:left="720"/>
        <w:rPr>
          <w:rFonts w:ascii="David" w:hAnsi="David"/>
          <w:rtl/>
          <w:lang w:eastAsia="en-US"/>
        </w:rPr>
      </w:pPr>
    </w:p>
    <w:p>
      <w:pPr>
        <w:widowControl w:val="0"/>
        <w:numPr>
          <w:ilvl w:val="1"/>
          <w:numId w:val="9"/>
        </w:numPr>
        <w:spacing w:line="300" w:lineRule="atLeast"/>
        <w:rPr>
          <w:position w:val="2"/>
          <w:sz w:val="22"/>
          <w:lang w:eastAsia="en-US"/>
        </w:rPr>
      </w:pPr>
      <w:r>
        <w:rPr>
          <w:rFonts w:hint="cs"/>
          <w:position w:val="2"/>
          <w:sz w:val="22"/>
          <w:rtl/>
          <w:lang w:eastAsia="en-US"/>
        </w:rPr>
        <w:t>הספק ימציא ערבות 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p>
    <w:p>
      <w:pPr>
        <w:widowControl w:val="0"/>
        <w:spacing w:line="300" w:lineRule="atLeast"/>
        <w:rPr>
          <w:rFonts w:ascii="David" w:hAnsi="David"/>
          <w:rtl/>
          <w:lang w:eastAsia="en-US"/>
        </w:rPr>
      </w:pPr>
    </w:p>
    <w:p>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הספק, כמפורט לעיל</w:t>
      </w:r>
      <w:r>
        <w:rPr>
          <w:rFonts w:ascii="David" w:hAnsi="David" w:hint="cs"/>
          <w:rtl/>
          <w:lang w:eastAsia="en-US"/>
        </w:rPr>
        <w:t xml:space="preserve"> תוחזק בידי המשרד אשר יהיה רשאי לממשה בכל מקרה שהספק לא יעמוד בהתחייבויותיו.</w:t>
      </w:r>
    </w:p>
    <w:p>
      <w:pPr>
        <w:widowControl w:val="0"/>
        <w:spacing w:line="300" w:lineRule="atLeast"/>
        <w:ind w:left="1417"/>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hint="cs"/>
          <w:rtl/>
          <w:lang w:eastAsia="en-US"/>
        </w:rPr>
        <w:t>בכל מקרה בו הספק לא יעמוד בהתחייבויותיו על פי תנאי החוזה ומכרז זה, רשאי המשרד לבטל את אישור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pPr>
        <w:widowControl w:val="0"/>
        <w:spacing w:line="300" w:lineRule="atLeast"/>
        <w:ind w:left="1417"/>
        <w:rPr>
          <w:rFonts w:ascii="David" w:hAnsi="David"/>
          <w:rtl/>
          <w:lang w:eastAsia="en-US"/>
        </w:rPr>
      </w:pPr>
    </w:p>
    <w:p>
      <w:pPr>
        <w:widowControl w:val="0"/>
        <w:numPr>
          <w:ilvl w:val="1"/>
          <w:numId w:val="9"/>
        </w:numPr>
        <w:spacing w:line="300" w:lineRule="atLeast"/>
        <w:rPr>
          <w:rFonts w:ascii="David" w:hAnsi="David"/>
          <w:rtl/>
          <w:lang w:eastAsia="en-US"/>
        </w:rPr>
      </w:pPr>
      <w:r>
        <w:rPr>
          <w:rFonts w:ascii="David" w:hAnsi="David" w:hint="cs"/>
          <w:rtl/>
          <w:lang w:eastAsia="en-US"/>
        </w:rPr>
        <w:t xml:space="preserve">הופר החוזה על ידי הספק ו/או </w:t>
      </w:r>
      <w:r>
        <w:rPr>
          <w:rFonts w:ascii="David" w:hAnsi="David"/>
          <w:rtl/>
          <w:lang w:eastAsia="en-US"/>
        </w:rPr>
        <w:t xml:space="preserve">בוטל האישור שניתן לספק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והספק יפצה את המשרד ו/או היחידה המזמינה על כל הפסד ונזק שיגרמו להם בגין כך.</w:t>
      </w:r>
    </w:p>
    <w:p>
      <w:pPr>
        <w:widowControl w:val="0"/>
        <w:spacing w:line="300" w:lineRule="atLeast"/>
        <w:ind w:left="1418"/>
        <w:rPr>
          <w:position w:val="2"/>
          <w:lang w:eastAsia="en-US"/>
        </w:rPr>
      </w:pPr>
    </w:p>
    <w:p>
      <w:pPr>
        <w:widowControl w:val="0"/>
        <w:numPr>
          <w:ilvl w:val="1"/>
          <w:numId w:val="9"/>
        </w:numPr>
        <w:spacing w:line="300" w:lineRule="atLeast"/>
        <w:rPr>
          <w:position w:val="2"/>
          <w:rtl/>
          <w:lang w:eastAsia="en-US"/>
        </w:rPr>
      </w:pPr>
      <w:r>
        <w:rPr>
          <w:rFonts w:hint="cs"/>
          <w:position w:val="2"/>
          <w:rtl/>
          <w:lang w:eastAsia="en-US"/>
        </w:rPr>
        <w:t>הספק יגיש למשרד את ערבות הביצוע, בצירוף הסכם חתום ע"י המורשים מטעמו, תוך שבוע מקבלת ההסכם החתום בראשי תיבות ע"י המורשים מטעם המשרד.</w:t>
      </w:r>
    </w:p>
    <w:p>
      <w:pPr>
        <w:widowControl w:val="0"/>
        <w:tabs>
          <w:tab w:val="left" w:pos="2268"/>
        </w:tabs>
        <w:spacing w:line="300" w:lineRule="atLeast"/>
        <w:rPr>
          <w:position w:val="2"/>
          <w:rtl/>
          <w:lang w:eastAsia="en-US"/>
        </w:rPr>
      </w:pPr>
    </w:p>
    <w:p>
      <w:pPr>
        <w:widowControl w:val="0"/>
        <w:numPr>
          <w:ilvl w:val="1"/>
          <w:numId w:val="9"/>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הספק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pPr>
        <w:widowControl w:val="0"/>
        <w:spacing w:line="300" w:lineRule="atLeast"/>
        <w:rPr>
          <w:position w:val="2"/>
          <w:rtl/>
          <w:lang w:eastAsia="en-US"/>
        </w:rPr>
      </w:pPr>
    </w:p>
    <w:p>
      <w:pPr>
        <w:widowControl w:val="0"/>
        <w:numPr>
          <w:ilvl w:val="1"/>
          <w:numId w:val="9"/>
        </w:numPr>
        <w:spacing w:line="300" w:lineRule="atLeast"/>
        <w:rPr>
          <w:position w:val="2"/>
          <w:lang w:eastAsia="en-US"/>
        </w:rPr>
      </w:pPr>
      <w:r>
        <w:rPr>
          <w:rFonts w:hint="cs"/>
          <w:position w:val="2"/>
          <w:rtl/>
          <w:lang w:eastAsia="en-US"/>
        </w:rPr>
        <w:t>על הספק לתעד במערכת המידע שלו כל פעילות הנדרשת במכרז זה ולשמור מידע זה במשך כל תקופת ההתקשרות ועוד חודשיים.</w:t>
      </w:r>
    </w:p>
    <w:p>
      <w:pPr>
        <w:widowControl w:val="0"/>
        <w:spacing w:line="300" w:lineRule="atLeast"/>
        <w:rPr>
          <w:position w:val="2"/>
          <w:rtl/>
          <w:lang w:eastAsia="en-US"/>
        </w:rPr>
      </w:pPr>
    </w:p>
    <w:p>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pPr>
        <w:widowControl w:val="0"/>
        <w:spacing w:line="300" w:lineRule="atLeast"/>
        <w:rPr>
          <w:rFonts w:ascii="David" w:hAnsi="David"/>
          <w:rtl/>
          <w:lang w:eastAsia="en-US"/>
        </w:rPr>
      </w:pPr>
      <w:r>
        <w:rPr>
          <w:rFonts w:ascii="David" w:hAnsi="David" w:hint="cs"/>
          <w:rtl/>
          <w:lang w:eastAsia="en-US"/>
        </w:rPr>
        <w:t xml:space="preserve"> </w:t>
      </w:r>
    </w:p>
    <w:p>
      <w:pPr>
        <w:widowControl w:val="0"/>
        <w:spacing w:line="300" w:lineRule="atLeast"/>
        <w:rPr>
          <w:rFonts w:ascii="David" w:hAnsi="David"/>
          <w:rtl/>
          <w:lang w:eastAsia="en-US"/>
        </w:rPr>
      </w:pPr>
    </w:p>
    <w:p>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מסירת ההצעה</w:t>
      </w:r>
    </w:p>
    <w:p>
      <w:pPr>
        <w:widowControl w:val="0"/>
        <w:spacing w:line="300" w:lineRule="atLeast"/>
        <w:ind w:left="709"/>
        <w:rPr>
          <w:rtl/>
          <w:lang w:eastAsia="en-US"/>
        </w:rPr>
      </w:pPr>
    </w:p>
    <w:p>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pPr>
        <w:widowControl w:val="0"/>
        <w:spacing w:line="300" w:lineRule="atLeast"/>
        <w:ind w:left="1418"/>
        <w:rPr>
          <w:lang w:eastAsia="en-US"/>
        </w:rPr>
      </w:pPr>
    </w:p>
    <w:p>
      <w:pPr>
        <w:widowControl w:val="0"/>
        <w:numPr>
          <w:ilvl w:val="2"/>
          <w:numId w:val="9"/>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"חוברת הצעה" וככל הניתן ללא סימן מזהה של המציע על גבי המעטפה.</w:t>
      </w:r>
    </w:p>
    <w:p>
      <w:pPr>
        <w:widowControl w:val="0"/>
        <w:spacing w:after="160" w:line="300" w:lineRule="atLeast"/>
        <w:ind w:left="226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pPr>
        <w:pStyle w:val="aff2"/>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pPr>
        <w:pStyle w:val="aff2"/>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pPr>
        <w:widowControl w:val="0"/>
        <w:spacing w:line="300" w:lineRule="atLeast"/>
        <w:ind w:left="2268"/>
        <w:rPr>
          <w:rtl/>
          <w:lang w:eastAsia="en-US"/>
        </w:rPr>
      </w:pPr>
    </w:p>
    <w:p>
      <w:pPr>
        <w:widowControl w:val="0"/>
        <w:spacing w:line="300" w:lineRule="atLeast"/>
        <w:ind w:firstLine="9450"/>
        <w:rPr>
          <w:sz w:val="22"/>
          <w:szCs w:val="20"/>
          <w:rtl/>
          <w:lang w:eastAsia="en-US"/>
        </w:rPr>
      </w:pPr>
    </w:p>
    <w:p>
      <w:pPr>
        <w:widowControl w:val="0"/>
        <w:numPr>
          <w:ilvl w:val="2"/>
          <w:numId w:val="9"/>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pPr>
        <w:widowControl w:val="0"/>
        <w:spacing w:line="300" w:lineRule="atLeast"/>
        <w:rPr>
          <w:sz w:val="22"/>
          <w:rtl/>
          <w:lang w:eastAsia="en-US"/>
        </w:rPr>
      </w:pPr>
    </w:p>
    <w:p>
      <w:pPr>
        <w:widowControl w:val="0"/>
        <w:numPr>
          <w:ilvl w:val="2"/>
          <w:numId w:val="9"/>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pPr>
        <w:widowControl w:val="0"/>
        <w:numPr>
          <w:ilvl w:val="3"/>
          <w:numId w:val="9"/>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9"/>
        </w:numPr>
        <w:spacing w:after="160" w:line="300" w:lineRule="atLeast"/>
        <w:rPr>
          <w:lang w:eastAsia="en-US"/>
        </w:rPr>
      </w:pPr>
      <w:r>
        <w:rPr>
          <w:rFonts w:hint="cs"/>
          <w:rtl/>
          <w:lang w:eastAsia="en-US"/>
        </w:rPr>
        <w:t>פרטים על המציע, מאושרים ע"י רו"ח/עו"ד:</w:t>
      </w:r>
    </w:p>
    <w:p>
      <w:pPr>
        <w:widowControl w:val="0"/>
        <w:numPr>
          <w:ilvl w:val="4"/>
          <w:numId w:val="9"/>
        </w:numPr>
        <w:spacing w:after="160" w:line="300" w:lineRule="atLeast"/>
        <w:rPr>
          <w:rtl/>
          <w:lang w:eastAsia="en-US"/>
        </w:rPr>
      </w:pPr>
      <w:r>
        <w:rPr>
          <w:rFonts w:hint="cs"/>
          <w:rtl/>
          <w:lang w:eastAsia="en-US"/>
        </w:rPr>
        <w:t>שם המציע כפי שהוא רשום ברשם רשמי.</w:t>
      </w:r>
    </w:p>
    <w:p>
      <w:pPr>
        <w:widowControl w:val="0"/>
        <w:numPr>
          <w:ilvl w:val="4"/>
          <w:numId w:val="9"/>
        </w:numPr>
        <w:spacing w:after="160" w:line="300" w:lineRule="atLeast"/>
        <w:rPr>
          <w:rtl/>
          <w:lang w:eastAsia="en-US"/>
        </w:rPr>
      </w:pPr>
      <w:r>
        <w:rPr>
          <w:rFonts w:hint="cs"/>
          <w:rtl/>
          <w:lang w:eastAsia="en-US"/>
        </w:rPr>
        <w:t>סוג ההתארגנות.</w:t>
      </w:r>
    </w:p>
    <w:p>
      <w:pPr>
        <w:widowControl w:val="0"/>
        <w:numPr>
          <w:ilvl w:val="4"/>
          <w:numId w:val="9"/>
        </w:numPr>
        <w:spacing w:after="160" w:line="300" w:lineRule="atLeast"/>
        <w:rPr>
          <w:rtl/>
          <w:lang w:eastAsia="en-US"/>
        </w:rPr>
      </w:pPr>
      <w:r>
        <w:rPr>
          <w:rFonts w:hint="cs"/>
          <w:rtl/>
          <w:lang w:eastAsia="en-US"/>
        </w:rPr>
        <w:t>תאריך ההתארגנות.</w:t>
      </w:r>
    </w:p>
    <w:p>
      <w:pPr>
        <w:widowControl w:val="0"/>
        <w:numPr>
          <w:ilvl w:val="4"/>
          <w:numId w:val="9"/>
        </w:numPr>
        <w:spacing w:after="160" w:line="300" w:lineRule="atLeast"/>
        <w:rPr>
          <w:rtl/>
          <w:lang w:eastAsia="en-US"/>
        </w:rPr>
      </w:pPr>
      <w:r>
        <w:rPr>
          <w:rFonts w:hint="cs"/>
          <w:rtl/>
          <w:lang w:eastAsia="en-US"/>
        </w:rPr>
        <w:t>מספר מזהה.</w:t>
      </w:r>
    </w:p>
    <w:p>
      <w:pPr>
        <w:widowControl w:val="0"/>
        <w:numPr>
          <w:ilvl w:val="4"/>
          <w:numId w:val="9"/>
        </w:numPr>
        <w:spacing w:after="160" w:line="300" w:lineRule="atLeast"/>
        <w:rPr>
          <w:rtl/>
          <w:lang w:eastAsia="en-US"/>
        </w:rPr>
      </w:pPr>
      <w:r>
        <w:rPr>
          <w:rFonts w:hint="cs"/>
          <w:rtl/>
          <w:lang w:eastAsia="en-US"/>
        </w:rPr>
        <w:t>שמות ומס' ת.ז. של המוסמכים לחתום ולהתחייב בשם המציע.</w:t>
      </w:r>
    </w:p>
    <w:p>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5 </w:t>
      </w:r>
      <w:r>
        <w:rPr>
          <w:b/>
          <w:bCs/>
          <w:rtl/>
          <w:lang w:eastAsia="en-US"/>
        </w:rPr>
        <w:t>חוברת ההצעה</w:t>
      </w:r>
      <w:r>
        <w:rPr>
          <w:rFonts w:hint="cs"/>
          <w:b/>
          <w:bCs/>
          <w:rtl/>
          <w:lang w:eastAsia="en-US"/>
        </w:rPr>
        <w:t>.</w:t>
      </w:r>
    </w:p>
    <w:p>
      <w:pPr>
        <w:widowControl w:val="0"/>
        <w:spacing w:line="300" w:lineRule="atLeast"/>
        <w:ind w:left="2269"/>
        <w:rPr>
          <w:lang w:eastAsia="en-US"/>
        </w:rPr>
      </w:pPr>
    </w:p>
    <w:p>
      <w:pPr>
        <w:widowControl w:val="0"/>
        <w:spacing w:line="300" w:lineRule="atLeast"/>
        <w:ind w:left="2835"/>
        <w:rPr>
          <w:rtl/>
          <w:lang w:eastAsia="en-US"/>
        </w:rPr>
      </w:pPr>
    </w:p>
    <w:p>
      <w:pPr>
        <w:widowControl w:val="0"/>
        <w:numPr>
          <w:ilvl w:val="2"/>
          <w:numId w:val="9"/>
        </w:numPr>
        <w:spacing w:after="160" w:line="300" w:lineRule="atLeast"/>
        <w:rPr>
          <w:rFonts w:ascii="David" w:hAnsi="David"/>
          <w:lang w:eastAsia="en-US"/>
        </w:rPr>
      </w:pPr>
      <w:bookmarkStart w:id="35" w:name="_Hlk161736809"/>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pPr>
        <w:widowControl w:val="0"/>
        <w:numPr>
          <w:ilvl w:val="3"/>
          <w:numId w:val="9"/>
        </w:numPr>
        <w:spacing w:after="160" w:line="300" w:lineRule="atLeas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9"/>
        </w:numPr>
        <w:spacing w:after="160" w:line="300" w:lineRule="atLeast"/>
      </w:pPr>
      <w:r>
        <w:rPr>
          <w:rFonts w:hint="cs"/>
          <w:rtl/>
          <w:lang w:eastAsia="en-US"/>
        </w:rPr>
        <w:t xml:space="preserve">אישור על ניהול תקין, מטעם רשם העמותות, תקף לשנה השוטפת </w:t>
      </w:r>
      <w:r>
        <w:rPr>
          <w:rtl/>
        </w:rPr>
        <w:t xml:space="preserve">או בעל אישור על הגשת מסמכים מטעם הרשם המוסמך אשר ניתן על ידי הרשם המוסמך לא </w:t>
      </w:r>
      <w:r>
        <w:rPr>
          <w:rtl/>
        </w:rPr>
        <w:lastRenderedPageBreak/>
        <w:t>מוקדם משנתיים לפני המועד האחרון להגשת ההצעות</w:t>
      </w:r>
      <w:r>
        <w:rPr>
          <w:rFonts w:hint="cs"/>
          <w:rtl/>
        </w:rPr>
        <w:t>.</w:t>
      </w:r>
      <w:bookmarkStart w:id="36" w:name="_Ref88725380"/>
    </w:p>
    <w:p>
      <w:pPr>
        <w:widowControl w:val="0"/>
        <w:numPr>
          <w:ilvl w:val="3"/>
          <w:numId w:val="9"/>
        </w:numPr>
        <w:spacing w:after="160" w:line="300" w:lineRule="atLeast"/>
        <w:rPr>
          <w:rtl/>
          <w:lang w:eastAsia="en-US"/>
        </w:rPr>
      </w:pPr>
      <w:r>
        <w:rPr>
          <w:rFonts w:hint="cs"/>
          <w:rtl/>
          <w:lang w:eastAsia="en-US"/>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bookmarkEnd w:id="35"/>
      <w:bookmarkEnd w:id="36"/>
    </w:p>
    <w:p>
      <w:pPr>
        <w:widowControl w:val="0"/>
        <w:numPr>
          <w:ilvl w:val="3"/>
          <w:numId w:val="9"/>
        </w:numPr>
        <w:spacing w:after="160" w:line="300" w:lineRule="atLeast"/>
        <w:rPr>
          <w:lang w:eastAsia="en-US"/>
        </w:rPr>
      </w:pPr>
      <w:r>
        <w:rPr>
          <w:rFonts w:hint="cs"/>
          <w:rtl/>
          <w:lang w:eastAsia="en-US"/>
        </w:rPr>
        <w:t xml:space="preserve">הצהרה של העמותה על אי בקשת תמיכה (נספח </w:t>
      </w:r>
      <w:r>
        <w:rPr>
          <w:rFonts w:hint="cs"/>
          <w:b/>
          <w:bCs/>
          <w:rtl/>
          <w:lang w:eastAsia="en-US"/>
        </w:rPr>
        <w:t xml:space="preserve">5 </w:t>
      </w:r>
      <w:r>
        <w:rPr>
          <w:b/>
          <w:bCs/>
          <w:rtl/>
          <w:lang w:eastAsia="en-US"/>
        </w:rPr>
        <w:t>חוברת ההצעה</w:t>
      </w:r>
      <w:r>
        <w:rPr>
          <w:rFonts w:hint="cs"/>
          <w:rtl/>
          <w:lang w:eastAsia="en-US"/>
        </w:rPr>
        <w:t>).</w:t>
      </w:r>
    </w:p>
    <w:p>
      <w:pPr>
        <w:widowControl w:val="0"/>
        <w:spacing w:line="300" w:lineRule="atLeast"/>
        <w:ind w:left="2268"/>
        <w:rPr>
          <w:b/>
          <w:bCs/>
          <w:rtl/>
          <w:lang w:eastAsia="en-US"/>
        </w:rPr>
      </w:pPr>
    </w:p>
    <w:p>
      <w:pPr>
        <w:widowControl w:val="0"/>
        <w:numPr>
          <w:ilvl w:val="2"/>
          <w:numId w:val="9"/>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מטעם פקיד השומה וממונה איזורי מע"מ, על שם המציע.</w:t>
      </w:r>
    </w:p>
    <w:p>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pPr>
        <w:widowControl w:val="0"/>
        <w:spacing w:line="300" w:lineRule="atLeast"/>
        <w:ind w:left="2268"/>
        <w:rPr>
          <w:b/>
          <w:bCs/>
          <w:rtl/>
          <w:lang w:eastAsia="en-US"/>
        </w:rPr>
      </w:pPr>
    </w:p>
    <w:p>
      <w:pPr>
        <w:widowControl w:val="0"/>
        <w:numPr>
          <w:ilvl w:val="2"/>
          <w:numId w:val="9"/>
        </w:numPr>
        <w:spacing w:after="160" w:line="300" w:lineRule="atLeast"/>
        <w:rPr>
          <w:b/>
          <w:bCs/>
          <w:lang w:eastAsia="en-US"/>
        </w:rPr>
      </w:pPr>
      <w:r>
        <w:rPr>
          <w:rFonts w:hint="cs"/>
          <w:b/>
          <w:bCs/>
          <w:rtl/>
          <w:lang w:eastAsia="en-US"/>
        </w:rPr>
        <w:t xml:space="preserve">בנספח 2 למכרז זה מצורף חוזה ההתקשרות. </w:t>
      </w:r>
    </w:p>
    <w:p>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pPr>
        <w:widowControl w:val="0"/>
        <w:spacing w:after="160" w:line="300" w:lineRule="atLeast"/>
        <w:ind w:left="2268"/>
        <w:rPr>
          <w:b/>
          <w:bCs/>
          <w:rtl/>
          <w:lang w:eastAsia="en-US"/>
        </w:rPr>
      </w:pPr>
      <w:r>
        <w:rPr>
          <w:b/>
          <w:bCs/>
          <w:rtl/>
          <w:lang w:eastAsia="en-US"/>
        </w:rPr>
        <w:t>המציע הזוכה במכרז ידרש לצרף לחוזה החתום על ידו את הנוסח שנדרש במכרז חתום ע"י חברת הביטוח.</w:t>
      </w:r>
      <w:r>
        <w:rPr>
          <w:rFonts w:hint="cs"/>
          <w:b/>
          <w:bCs/>
          <w:rtl/>
          <w:lang w:eastAsia="en-US"/>
        </w:rPr>
        <w:t xml:space="preserve"> </w:t>
      </w:r>
    </w:p>
    <w:p>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pPr>
        <w:widowControl w:val="0"/>
        <w:numPr>
          <w:ilvl w:val="2"/>
          <w:numId w:val="9"/>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pPr>
        <w:widowControl w:val="0"/>
        <w:spacing w:line="300" w:lineRule="atLeast"/>
        <w:rPr>
          <w:rtl/>
          <w:lang w:eastAsia="en-US"/>
        </w:rPr>
      </w:pPr>
    </w:p>
    <w:p>
      <w:pPr>
        <w:widowControl w:val="0"/>
        <w:numPr>
          <w:ilvl w:val="2"/>
          <w:numId w:val="9"/>
        </w:numPr>
        <w:spacing w:line="300" w:lineRule="atLeast"/>
        <w:rPr>
          <w:rtl/>
          <w:lang w:eastAsia="en-US"/>
        </w:rPr>
      </w:pPr>
      <w:r>
        <w:rPr>
          <w:rFonts w:hint="cs"/>
          <w:rtl/>
          <w:lang w:eastAsia="en-US"/>
        </w:rPr>
        <w:t xml:space="preserve">הניסיון הנדרש בסעיף </w:t>
      </w:r>
      <w:r>
        <w:rPr>
          <w:rFonts w:hint="cs"/>
          <w:b/>
          <w:bCs/>
          <w:rtl/>
          <w:lang w:eastAsia="en-US"/>
        </w:rPr>
        <w:t>2.3.7</w:t>
      </w:r>
      <w:r>
        <w:rPr>
          <w:rFonts w:hint="cs"/>
          <w:rtl/>
          <w:lang w:eastAsia="en-US"/>
        </w:rPr>
        <w:t>,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pPr>
        <w:widowControl w:val="0"/>
        <w:spacing w:line="300" w:lineRule="atLeast"/>
        <w:ind w:left="1418"/>
        <w:rPr>
          <w:rtl/>
          <w:lang w:eastAsia="en-US"/>
        </w:rPr>
      </w:pPr>
    </w:p>
    <w:p>
      <w:pPr>
        <w:widowControl w:val="0"/>
        <w:spacing w:line="300" w:lineRule="atLeast"/>
        <w:ind w:left="2268"/>
        <w:rPr>
          <w:lang w:eastAsia="en-US"/>
        </w:rPr>
      </w:pPr>
    </w:p>
    <w:p>
      <w:pPr>
        <w:widowControl w:val="0"/>
        <w:numPr>
          <w:ilvl w:val="2"/>
          <w:numId w:val="9"/>
        </w:numPr>
        <w:spacing w:line="300" w:lineRule="atLeast"/>
        <w:rPr>
          <w:lang w:eastAsia="en-US"/>
        </w:rPr>
      </w:pPr>
      <w:r>
        <w:rPr>
          <w:rFonts w:hint="cs"/>
          <w:b/>
          <w:bCs/>
          <w:rtl/>
          <w:lang w:eastAsia="en-US"/>
        </w:rPr>
        <w:t>קורות חיים</w:t>
      </w:r>
      <w:r>
        <w:rPr>
          <w:rFonts w:hint="cs"/>
          <w:rtl/>
          <w:lang w:eastAsia="en-US"/>
        </w:rPr>
        <w:t xml:space="preserve"> ומסמכים המעידים על הכשרתו וניסיונו של מתאם פעילות אזורי כנדרש במכרז.</w:t>
      </w:r>
    </w:p>
    <w:p>
      <w:pPr>
        <w:pStyle w:val="aff2"/>
        <w:widowControl w:val="0"/>
        <w:rPr>
          <w:rtl/>
          <w:lang w:eastAsia="en-US"/>
        </w:rPr>
      </w:pPr>
    </w:p>
    <w:p>
      <w:pPr>
        <w:widowControl w:val="0"/>
        <w:numPr>
          <w:ilvl w:val="2"/>
          <w:numId w:val="9"/>
        </w:numPr>
        <w:spacing w:line="300" w:lineRule="atLeast"/>
        <w:rPr>
          <w:rtl/>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 xml:space="preserve">5 </w:t>
      </w:r>
      <w:r>
        <w:rPr>
          <w:b/>
          <w:bCs/>
          <w:rtl/>
          <w:lang w:eastAsia="en-US"/>
        </w:rPr>
        <w:t>חוברת ההצעה</w:t>
      </w:r>
      <w:r>
        <w:rPr>
          <w:rFonts w:hint="cs"/>
          <w:rtl/>
          <w:lang w:eastAsia="en-US"/>
        </w:rPr>
        <w:t>.</w:t>
      </w:r>
    </w:p>
    <w:p>
      <w:pPr>
        <w:pStyle w:val="aff2"/>
        <w:widowControl w:val="0"/>
        <w:spacing w:line="300" w:lineRule="atLeast"/>
        <w:rPr>
          <w:rtl/>
          <w:lang w:eastAsia="en-US"/>
        </w:rPr>
      </w:pPr>
    </w:p>
    <w:p>
      <w:pPr>
        <w:widowControl w:val="0"/>
        <w:numPr>
          <w:ilvl w:val="2"/>
          <w:numId w:val="9"/>
        </w:numPr>
        <w:spacing w:line="300" w:lineRule="atLeast"/>
        <w:rPr>
          <w:lang w:eastAsia="en-US"/>
        </w:rPr>
      </w:pPr>
      <w:r>
        <w:rPr>
          <w:rFonts w:hint="cs"/>
          <w:rtl/>
          <w:lang w:eastAsia="en-US"/>
        </w:rPr>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pPr>
        <w:pStyle w:val="aff2"/>
        <w:widowControl w:val="0"/>
        <w:spacing w:line="300" w:lineRule="atLeast"/>
        <w:rPr>
          <w:rtl/>
          <w:lang w:eastAsia="en-US"/>
        </w:rPr>
      </w:pPr>
    </w:p>
    <w:p>
      <w:pPr>
        <w:widowControl w:val="0"/>
        <w:numPr>
          <w:ilvl w:val="2"/>
          <w:numId w:val="9"/>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9"/>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 xml:space="preserve">5 </w:t>
      </w:r>
      <w:r>
        <w:rPr>
          <w:b/>
          <w:bCs/>
          <w:rtl/>
          <w:lang w:eastAsia="en-US"/>
        </w:rPr>
        <w:t>חוברת ההצעה</w:t>
      </w:r>
      <w:r>
        <w:rPr>
          <w:rtl/>
          <w:lang w:eastAsia="en-US"/>
        </w:rPr>
        <w:t>.</w:t>
      </w:r>
    </w:p>
    <w:p>
      <w:pPr>
        <w:widowControl w:val="0"/>
        <w:numPr>
          <w:ilvl w:val="2"/>
          <w:numId w:val="9"/>
        </w:numPr>
        <w:spacing w:line="300" w:lineRule="atLeast"/>
        <w:rPr>
          <w:lang w:eastAsia="en-US"/>
        </w:rPr>
      </w:pPr>
      <w:r>
        <w:rPr>
          <w:rFonts w:hint="cs"/>
          <w:rtl/>
          <w:lang w:eastAsia="en-US"/>
        </w:rPr>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4</w:t>
      </w:r>
      <w:r>
        <w:rPr>
          <w:rFonts w:hint="cs"/>
          <w:rtl/>
          <w:lang w:eastAsia="en-US"/>
        </w:rPr>
        <w:t>.</w:t>
      </w:r>
    </w:p>
    <w:p>
      <w:pPr>
        <w:widowControl w:val="0"/>
        <w:spacing w:line="300" w:lineRule="atLeast"/>
        <w:ind w:left="2268"/>
        <w:rPr>
          <w:lang w:eastAsia="en-US"/>
        </w:rPr>
      </w:pPr>
    </w:p>
    <w:p>
      <w:pPr>
        <w:widowControl w:val="0"/>
        <w:numPr>
          <w:ilvl w:val="2"/>
          <w:numId w:val="9"/>
        </w:numPr>
        <w:spacing w:line="300" w:lineRule="atLeast"/>
      </w:pPr>
      <w:r>
        <w:rPr>
          <w:rFonts w:hint="cs"/>
          <w:rtl/>
        </w:rPr>
        <w:t>על המציעים</w:t>
      </w:r>
      <w:r>
        <w:rPr>
          <w:rtl/>
        </w:rPr>
        <w:t xml:space="preserve"> למלא את המענה שלהם לדרישות שנכללו ב</w:t>
      </w:r>
      <w:r>
        <w:rPr>
          <w:rFonts w:hint="cs"/>
          <w:rtl/>
        </w:rPr>
        <w:t>נספח 4 ל</w:t>
      </w:r>
      <w:r>
        <w:rPr>
          <w:rtl/>
        </w:rPr>
        <w:t>מכרז</w:t>
      </w:r>
      <w:r>
        <w:rPr>
          <w:rFonts w:hint="cs"/>
          <w:rtl/>
        </w:rPr>
        <w:t>,</w:t>
      </w:r>
      <w:r>
        <w:rPr>
          <w:rtl/>
        </w:rPr>
        <w:t xml:space="preserve"> לרבות סעיף ונספח אבטחת מידע.</w:t>
      </w:r>
    </w:p>
    <w:p>
      <w:pPr>
        <w:pStyle w:val="aff2"/>
        <w:rPr>
          <w:rtl/>
        </w:rPr>
      </w:pPr>
    </w:p>
    <w:p>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pPr>
        <w:widowControl w:val="0"/>
        <w:spacing w:line="300" w:lineRule="atLeast"/>
        <w:ind w:left="1418"/>
      </w:pPr>
    </w:p>
    <w:p>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הספק</w:t>
      </w:r>
      <w:r>
        <w:rPr>
          <w:rtl/>
        </w:rPr>
        <w:t>.</w:t>
      </w:r>
    </w:p>
    <w:p>
      <w:pPr>
        <w:pStyle w:val="aff2"/>
        <w:widowControl w:val="0"/>
        <w:rPr>
          <w:rtl/>
          <w:lang w:eastAsia="en-US"/>
        </w:rPr>
      </w:pPr>
    </w:p>
    <w:p>
      <w:pPr>
        <w:widowControl w:val="0"/>
        <w:numPr>
          <w:ilvl w:val="2"/>
          <w:numId w:val="9"/>
        </w:numPr>
        <w:spacing w:line="300" w:lineRule="atLeast"/>
        <w:rPr>
          <w:lang w:eastAsia="en-US"/>
        </w:rPr>
      </w:pPr>
      <w:r>
        <w:rPr>
          <w:rFonts w:hint="cs"/>
          <w:rtl/>
          <w:lang w:eastAsia="en-US"/>
        </w:rPr>
        <w:t xml:space="preserve">הצהרה של המציע (בנספח </w:t>
      </w:r>
      <w:r>
        <w:rPr>
          <w:rFonts w:hint="cs"/>
          <w:b/>
          <w:bCs/>
          <w:rtl/>
          <w:lang w:eastAsia="en-US"/>
        </w:rPr>
        <w:t xml:space="preserve">5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pPr>
        <w:widowControl w:val="0"/>
        <w:spacing w:line="300" w:lineRule="atLeast"/>
        <w:rPr>
          <w:rtl/>
          <w:lang w:eastAsia="en-US"/>
        </w:rPr>
      </w:pPr>
    </w:p>
    <w:p>
      <w:pPr>
        <w:widowControl w:val="0"/>
        <w:numPr>
          <w:ilvl w:val="2"/>
          <w:numId w:val="9"/>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5 </w:t>
      </w:r>
      <w:r>
        <w:rPr>
          <w:b/>
          <w:bCs/>
          <w:rtl/>
          <w:lang w:eastAsia="en-US"/>
        </w:rPr>
        <w:t>חוברת ההצעה</w:t>
      </w:r>
      <w:r>
        <w:rPr>
          <w:rFonts w:hint="cs"/>
          <w:rtl/>
          <w:lang w:eastAsia="en-US"/>
        </w:rPr>
        <w:t xml:space="preserve">). </w:t>
      </w:r>
    </w:p>
    <w:p>
      <w:pPr>
        <w:widowControl w:val="0"/>
        <w:spacing w:line="300" w:lineRule="atLeast"/>
        <w:ind w:left="2268"/>
        <w:rPr>
          <w:lang w:eastAsia="en-US"/>
        </w:rPr>
      </w:pPr>
    </w:p>
    <w:p>
      <w:pPr>
        <w:widowControl w:val="0"/>
        <w:numPr>
          <w:ilvl w:val="2"/>
          <w:numId w:val="9"/>
        </w:numPr>
        <w:spacing w:line="300" w:lineRule="atLeast"/>
        <w:rPr>
          <w:lang w:eastAsia="en-US"/>
        </w:rPr>
      </w:pPr>
      <w:r>
        <w:rPr>
          <w:rFonts w:hint="cs"/>
          <w:rtl/>
          <w:lang w:eastAsia="en-US"/>
        </w:rPr>
        <w:t xml:space="preserve">הצהרה של המציע בעניין </w:t>
      </w:r>
      <w:r>
        <w:rPr>
          <w:rFonts w:hint="cs"/>
          <w:b/>
          <w:bCs/>
          <w:rtl/>
          <w:lang w:eastAsia="en-US"/>
        </w:rPr>
        <w:t>דרישות ביטוח</w:t>
      </w:r>
      <w:r>
        <w:rPr>
          <w:rFonts w:hint="cs"/>
          <w:rtl/>
          <w:lang w:eastAsia="en-US"/>
        </w:rPr>
        <w:t xml:space="preserve">,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9"/>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pPr>
        <w:pStyle w:val="aff2"/>
        <w:numPr>
          <w:ilvl w:val="2"/>
          <w:numId w:val="9"/>
        </w:numPr>
        <w:rPr>
          <w:b/>
          <w:bCs/>
          <w:rtl/>
          <w:lang w:eastAsia="en-US"/>
        </w:rPr>
      </w:pPr>
      <w:r>
        <w:rPr>
          <w:b/>
          <w:bCs/>
          <w:rtl/>
          <w:lang w:eastAsia="en-US"/>
        </w:rPr>
        <w:t xml:space="preserve">אישור כי </w:t>
      </w:r>
      <w:r>
        <w:rPr>
          <w:rFonts w:hint="cs"/>
          <w:b/>
          <w:bCs/>
          <w:rtl/>
          <w:lang w:eastAsia="en-US"/>
        </w:rPr>
        <w:t xml:space="preserve">הגוף </w:t>
      </w:r>
      <w:r>
        <w:rPr>
          <w:b/>
          <w:bCs/>
          <w:rtl/>
          <w:lang w:eastAsia="en-US"/>
        </w:rPr>
        <w:t>המציע הינו מוסד להשכלה גבוהה המוכר ע"י המל"ג</w:t>
      </w:r>
      <w:r>
        <w:rPr>
          <w:rFonts w:hint="cs"/>
          <w:b/>
          <w:bCs/>
          <w:rtl/>
          <w:lang w:eastAsia="en-US"/>
        </w:rPr>
        <w:t>.</w:t>
      </w:r>
    </w:p>
    <w:p>
      <w:pPr>
        <w:pStyle w:val="aff2"/>
        <w:numPr>
          <w:ilvl w:val="2"/>
          <w:numId w:val="9"/>
        </w:numPr>
        <w:rPr>
          <w:b/>
          <w:bCs/>
          <w:rtl/>
          <w:lang w:eastAsia="en-US"/>
        </w:rPr>
      </w:pPr>
      <w:r>
        <w:rPr>
          <w:b/>
          <w:bCs/>
          <w:rtl/>
          <w:lang w:eastAsia="en-US"/>
        </w:rPr>
        <w:t xml:space="preserve">אישור כי </w:t>
      </w:r>
      <w:r>
        <w:rPr>
          <w:rFonts w:hint="cs"/>
          <w:b/>
          <w:bCs/>
          <w:rtl/>
          <w:lang w:eastAsia="en-US"/>
        </w:rPr>
        <w:t xml:space="preserve">הגוף </w:t>
      </w:r>
      <w:r>
        <w:rPr>
          <w:b/>
          <w:bCs/>
          <w:rtl/>
          <w:lang w:eastAsia="en-US"/>
        </w:rPr>
        <w:t>המציע מוסמך להעניק תואר שני לפחות בתחומי המדעים ו/או הנדסה (</w:t>
      </w:r>
      <w:r>
        <w:rPr>
          <w:b/>
          <w:bCs/>
          <w:lang w:eastAsia="en-US"/>
        </w:rPr>
        <w:t>M.sc</w:t>
      </w:r>
      <w:r>
        <w:rPr>
          <w:b/>
          <w:bCs/>
          <w:rtl/>
          <w:lang w:eastAsia="en-US"/>
        </w:rPr>
        <w:t>) ו/או מדעי החברה (</w:t>
      </w:r>
      <w:r>
        <w:rPr>
          <w:b/>
          <w:bCs/>
          <w:lang w:eastAsia="en-US"/>
        </w:rPr>
        <w:t>M.A</w:t>
      </w:r>
      <w:r>
        <w:rPr>
          <w:b/>
          <w:bCs/>
          <w:rtl/>
          <w:lang w:eastAsia="en-US"/>
        </w:rPr>
        <w:t>) .</w:t>
      </w:r>
    </w:p>
    <w:p>
      <w:pPr>
        <w:widowControl w:val="0"/>
        <w:spacing w:line="300" w:lineRule="atLeast"/>
        <w:rPr>
          <w:rtl/>
          <w:lang w:eastAsia="en-US"/>
        </w:rPr>
      </w:pPr>
    </w:p>
    <w:p>
      <w:pPr>
        <w:widowControl w:val="0"/>
        <w:numPr>
          <w:ilvl w:val="2"/>
          <w:numId w:val="9"/>
        </w:numPr>
        <w:spacing w:line="300" w:lineRule="atLeast"/>
        <w:rPr>
          <w:lang w:eastAsia="en-US"/>
        </w:rPr>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5" w:history="1">
        <w:r>
          <w:rPr>
            <w:b/>
            <w:bCs/>
            <w:color w:val="0000FF"/>
            <w:u w:val="single"/>
          </w:rPr>
          <w:t>www.foi.gov.il</w:t>
        </w:r>
      </w:hyperlink>
      <w:r>
        <w:rPr>
          <w:rFonts w:hint="cs"/>
          <w:rtl/>
        </w:rPr>
        <w:t xml:space="preserve">, וזאת בתוך כחודש ימים מיום חתימתו. </w:t>
      </w:r>
      <w:r>
        <w:rPr>
          <w:rtl/>
        </w:rPr>
        <w:br/>
      </w:r>
    </w:p>
    <w:p>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pPr>
        <w:widowControl w:val="0"/>
        <w:spacing w:line="300" w:lineRule="atLeast"/>
        <w:ind w:left="2268"/>
        <w:rPr>
          <w:b/>
          <w:bCs/>
          <w:position w:val="2"/>
          <w:u w:val="single"/>
          <w:rtl/>
          <w:lang w:eastAsia="en-US"/>
        </w:rPr>
      </w:pPr>
    </w:p>
    <w:p>
      <w:pPr>
        <w:widowControl w:val="0"/>
        <w:numPr>
          <w:ilvl w:val="2"/>
          <w:numId w:val="9"/>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בחוברת ההצעה דף 3 סעיף 4, אלו עמודים בהצעתו עלולים </w:t>
      </w:r>
      <w:r>
        <w:rPr>
          <w:rFonts w:hint="cs"/>
          <w:b/>
          <w:bCs/>
          <w:sz w:val="22"/>
          <w:rtl/>
          <w:lang w:eastAsia="en-US"/>
        </w:rPr>
        <w:lastRenderedPageBreak/>
        <w:t xml:space="preserve">לחשוף סוד מסחרי או סוד מקצועי, למעט עלויות וסעיפים הנוגעים להוכחת עמידה בדרישות הסף, לפני הצגה למתחרים, ולנמק זאת וכן לצרף עותק מושחר תואם. </w:t>
      </w:r>
    </w:p>
    <w:p>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pPr>
        <w:widowControl w:val="0"/>
        <w:spacing w:line="300" w:lineRule="atLeast"/>
        <w:rPr>
          <w:b/>
          <w:bCs/>
          <w:sz w:val="22"/>
          <w:rtl/>
          <w:lang w:eastAsia="en-US"/>
        </w:rPr>
      </w:pPr>
    </w:p>
    <w:p>
      <w:pPr>
        <w:widowControl w:val="0"/>
        <w:spacing w:line="300" w:lineRule="atLeast"/>
        <w:ind w:left="2268"/>
        <w:rPr>
          <w:b/>
          <w:bCs/>
          <w:position w:val="2"/>
          <w:u w:val="single"/>
          <w:lang w:eastAsia="en-US"/>
        </w:rPr>
      </w:pPr>
    </w:p>
    <w:p>
      <w:pPr>
        <w:widowControl w:val="0"/>
        <w:numPr>
          <w:ilvl w:val="2"/>
          <w:numId w:val="9"/>
        </w:numPr>
        <w:spacing w:line="300" w:lineRule="atLeast"/>
        <w:rPr>
          <w:b/>
          <w:bCs/>
          <w:position w:val="2"/>
          <w:u w:val="single"/>
          <w:rtl/>
          <w:lang w:eastAsia="en-US"/>
        </w:rPr>
      </w:pPr>
      <w:r>
        <w:rPr>
          <w:rFonts w:hint="cs"/>
          <w:b/>
          <w:bCs/>
          <w:position w:val="2"/>
          <w:u w:val="single"/>
          <w:rtl/>
          <w:lang w:eastAsia="en-US"/>
        </w:rPr>
        <w:t>לעניין עידוד נשים בעסקים</w:t>
      </w:r>
    </w:p>
    <w:p>
      <w:pPr>
        <w:widowControl w:val="0"/>
        <w:spacing w:line="300" w:lineRule="atLeast"/>
        <w:ind w:left="2268"/>
        <w:rPr>
          <w:position w:val="2"/>
          <w:rtl/>
          <w:lang w:eastAsia="en-US"/>
        </w:rPr>
      </w:pPr>
    </w:p>
    <w:p>
      <w:pPr>
        <w:pStyle w:val="21"/>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pPr>
        <w:pStyle w:val="21"/>
        <w:widowControl w:val="0"/>
        <w:rPr>
          <w:position w:val="2"/>
          <w:rtl/>
          <w:lang w:eastAsia="en-US"/>
        </w:rPr>
      </w:pPr>
    </w:p>
    <w:p>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pPr>
        <w:widowControl w:val="0"/>
        <w:spacing w:line="300" w:lineRule="atLeast"/>
        <w:rPr>
          <w:position w:val="2"/>
          <w:lang w:eastAsia="en-US"/>
        </w:rPr>
      </w:pPr>
    </w:p>
    <w:p>
      <w:pPr>
        <w:widowControl w:val="0"/>
        <w:numPr>
          <w:ilvl w:val="2"/>
          <w:numId w:val="9"/>
        </w:numPr>
        <w:spacing w:line="300" w:lineRule="atLeast"/>
        <w:rPr>
          <w:b/>
          <w:bCs/>
          <w:position w:val="2"/>
          <w:u w:val="single"/>
          <w:rtl/>
          <w:lang w:eastAsia="en-US"/>
        </w:rPr>
      </w:pPr>
      <w:bookmarkStart w:id="37" w:name="_Hlk186628485"/>
      <w:r>
        <w:rPr>
          <w:rFonts w:hint="cs"/>
          <w:b/>
          <w:bCs/>
          <w:rtl/>
          <w:lang w:eastAsia="en-US"/>
        </w:rPr>
        <w:t>עסק שמשרת מילואים פעיל מחזיק בשליטה בו</w:t>
      </w:r>
      <w:r>
        <w:rPr>
          <w:rFonts w:hint="cs"/>
          <w:b/>
          <w:bCs/>
          <w:position w:val="2"/>
          <w:u w:val="single"/>
          <w:rtl/>
          <w:lang w:eastAsia="en-US"/>
        </w:rPr>
        <w:t xml:space="preserve"> </w:t>
      </w:r>
    </w:p>
    <w:p>
      <w:pPr>
        <w:widowControl w:val="0"/>
        <w:spacing w:line="300" w:lineRule="atLeast"/>
        <w:ind w:left="1418"/>
        <w:rPr>
          <w:lang w:eastAsia="en-US"/>
        </w:rPr>
      </w:pPr>
      <w:r>
        <w:rPr>
          <w:rFonts w:hint="cs"/>
          <w:rtl/>
          <w:lang w:eastAsia="en-US"/>
        </w:rPr>
        <w:t>הצהרה של המחזיק בשליטה שלפיה מתקיימים כל אלה:</w:t>
      </w:r>
    </w:p>
    <w:p>
      <w:pPr>
        <w:pStyle w:val="aff2"/>
        <w:rPr>
          <w:rtl/>
          <w:lang w:eastAsia="en-US"/>
        </w:rPr>
      </w:pPr>
    </w:p>
    <w:p>
      <w:pPr>
        <w:pStyle w:val="aff2"/>
        <w:widowControl w:val="0"/>
        <w:numPr>
          <w:ilvl w:val="3"/>
          <w:numId w:val="9"/>
        </w:numPr>
        <w:spacing w:line="300" w:lineRule="atLeast"/>
        <w:rPr>
          <w:lang w:eastAsia="en-US"/>
        </w:rPr>
      </w:pPr>
      <w:r>
        <w:rPr>
          <w:rFonts w:hint="cs"/>
          <w:rtl/>
          <w:lang w:eastAsia="en-US"/>
        </w:rPr>
        <w:t>הוא משרת מילואים פעיל בעת הגשת ההצעה.</w:t>
      </w:r>
    </w:p>
    <w:p>
      <w:pPr>
        <w:pStyle w:val="aff2"/>
        <w:widowControl w:val="0"/>
        <w:numPr>
          <w:ilvl w:val="3"/>
          <w:numId w:val="9"/>
        </w:numPr>
        <w:spacing w:line="300" w:lineRule="atLeast"/>
        <w:rPr>
          <w:lang w:eastAsia="en-US"/>
        </w:rPr>
      </w:pPr>
      <w:r>
        <w:rPr>
          <w:rFonts w:hint="cs"/>
          <w:rtl/>
          <w:lang w:eastAsia="en-US"/>
        </w:rPr>
        <w:t>העסק הוא בשליטת משרת מילואים פעיל.</w:t>
      </w:r>
    </w:p>
    <w:p>
      <w:pPr>
        <w:pStyle w:val="aff2"/>
        <w:widowControl w:val="0"/>
        <w:numPr>
          <w:ilvl w:val="3"/>
          <w:numId w:val="9"/>
        </w:numPr>
        <w:spacing w:line="300" w:lineRule="atLeast"/>
        <w:rPr>
          <w:lang w:eastAsia="en-US"/>
        </w:rPr>
      </w:pPr>
      <w:r>
        <w:rPr>
          <w:rFonts w:hint="cs"/>
          <w:rtl/>
          <w:lang w:eastAsia="en-US"/>
        </w:rPr>
        <w:t>ההצעה אינה של חברת בת של עסק גדול.</w:t>
      </w:r>
    </w:p>
    <w:p>
      <w:pPr>
        <w:pStyle w:val="aff2"/>
        <w:widowControl w:val="0"/>
        <w:spacing w:line="300" w:lineRule="atLeast"/>
        <w:ind w:left="2835"/>
        <w:rPr>
          <w:lang w:eastAsia="en-US"/>
        </w:rPr>
      </w:pPr>
    </w:p>
    <w:bookmarkEnd w:id="37"/>
    <w:p>
      <w:pPr>
        <w:widowControl w:val="0"/>
        <w:numPr>
          <w:ilvl w:val="1"/>
          <w:numId w:val="9"/>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pPr>
        <w:widowControl w:val="0"/>
        <w:spacing w:line="300" w:lineRule="atLeast"/>
        <w:ind w:left="2160" w:hanging="720"/>
        <w:rPr>
          <w:b/>
          <w:bCs/>
          <w:position w:val="2"/>
          <w:rtl/>
          <w:lang w:eastAsia="en-US"/>
        </w:rPr>
      </w:pPr>
    </w:p>
    <w:p>
      <w:pPr>
        <w:widowControl w:val="0"/>
        <w:numPr>
          <w:ilvl w:val="1"/>
          <w:numId w:val="9"/>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pPr>
        <w:widowControl w:val="0"/>
        <w:spacing w:line="300" w:lineRule="atLeast"/>
        <w:ind w:left="993" w:firstLine="425"/>
        <w:rPr>
          <w:position w:val="2"/>
          <w:rtl/>
          <w:lang w:eastAsia="en-US"/>
        </w:rPr>
      </w:pPr>
    </w:p>
    <w:p>
      <w:pPr>
        <w:widowControl w:val="0"/>
        <w:spacing w:line="300" w:lineRule="atLeast"/>
        <w:ind w:left="993" w:firstLine="425"/>
        <w:rPr>
          <w:position w:val="2"/>
          <w:rtl/>
          <w:lang w:eastAsia="en-US"/>
        </w:rPr>
      </w:pPr>
    </w:p>
    <w:p>
      <w:pPr>
        <w:widowControl w:val="0"/>
        <w:numPr>
          <w:ilvl w:val="1"/>
          <w:numId w:val="9"/>
        </w:numPr>
        <w:spacing w:line="300" w:lineRule="atLeast"/>
        <w:rPr>
          <w:b/>
          <w:bCs/>
          <w:position w:val="2"/>
          <w:sz w:val="28"/>
          <w:szCs w:val="28"/>
          <w:rtl/>
          <w:lang w:eastAsia="en-US"/>
        </w:rPr>
      </w:pPr>
      <w:r>
        <w:rPr>
          <w:rFonts w:hint="cs"/>
          <w:b/>
          <w:bCs/>
          <w:position w:val="2"/>
          <w:sz w:val="28"/>
          <w:szCs w:val="28"/>
          <w:u w:val="single"/>
          <w:rtl/>
          <w:lang w:eastAsia="en-US"/>
        </w:rPr>
        <w:t>הצעות מפורטות בהתאם לדרישות המכרז, יש לשלוח אל</w:t>
      </w:r>
      <w:r>
        <w:rPr>
          <w:rFonts w:hint="cs"/>
          <w:b/>
          <w:bCs/>
          <w:position w:val="2"/>
          <w:sz w:val="28"/>
          <w:szCs w:val="28"/>
          <w:rtl/>
          <w:lang w:eastAsia="en-US"/>
        </w:rPr>
        <w:t>:</w:t>
      </w:r>
    </w:p>
    <w:p>
      <w:pPr>
        <w:widowControl w:val="0"/>
        <w:spacing w:line="300" w:lineRule="atLeast"/>
        <w:rPr>
          <w:position w:val="2"/>
          <w:rtl/>
          <w:lang w:eastAsia="en-US"/>
        </w:rPr>
      </w:pPr>
    </w:p>
    <w:p>
      <w:pPr>
        <w:widowControl w:val="0"/>
        <w:spacing w:line="300" w:lineRule="atLeast"/>
        <w:ind w:left="1417"/>
        <w:rPr>
          <w:b/>
          <w:bCs/>
          <w:position w:val="2"/>
          <w:rtl/>
          <w:lang w:eastAsia="en-US"/>
        </w:rPr>
      </w:pPr>
      <w:r>
        <w:rPr>
          <w:rFonts w:hint="cs"/>
          <w:b/>
          <w:bCs/>
          <w:position w:val="2"/>
          <w:rtl/>
          <w:lang w:eastAsia="en-US"/>
        </w:rPr>
        <w:t xml:space="preserve">משרד החינוך </w:t>
      </w:r>
    </w:p>
    <w:p>
      <w:pPr>
        <w:widowControl w:val="0"/>
        <w:spacing w:line="300" w:lineRule="atLeast"/>
        <w:ind w:left="1417"/>
        <w:jc w:val="left"/>
        <w:textAlignment w:val="auto"/>
        <w:rPr>
          <w:b/>
          <w:bCs/>
          <w:lang w:eastAsia="en-US"/>
        </w:rPr>
      </w:pPr>
      <w:r>
        <w:rPr>
          <w:b/>
          <w:bCs/>
          <w:rtl/>
          <w:lang w:eastAsia="en-US"/>
        </w:rPr>
        <w:t>אגף בכיר, תפעול רכש ולוגיסטיקה</w:t>
      </w:r>
    </w:p>
    <w:p>
      <w:pPr>
        <w:widowControl w:val="0"/>
        <w:spacing w:line="300" w:lineRule="atLeast"/>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pPr>
        <w:widowControl w:val="0"/>
        <w:spacing w:line="300" w:lineRule="atLeast"/>
        <w:ind w:left="1417"/>
        <w:rPr>
          <w:b/>
          <w:bCs/>
          <w:position w:val="2"/>
          <w:sz w:val="40"/>
          <w:szCs w:val="40"/>
          <w:rtl/>
          <w:lang w:eastAsia="en-US"/>
        </w:rPr>
      </w:pPr>
      <w:r>
        <w:rPr>
          <w:rFonts w:hint="cs"/>
          <w:b/>
          <w:bCs/>
          <w:position w:val="2"/>
          <w:sz w:val="40"/>
          <w:szCs w:val="40"/>
          <w:rtl/>
          <w:lang w:eastAsia="en-US"/>
        </w:rPr>
        <w:t>"תיבת המכרזים"</w:t>
      </w:r>
    </w:p>
    <w:p>
      <w:pPr>
        <w:widowControl w:val="0"/>
        <w:spacing w:line="300" w:lineRule="atLeast"/>
        <w:ind w:left="1417"/>
        <w:rPr>
          <w:b/>
          <w:bCs/>
          <w:sz w:val="22"/>
          <w:rtl/>
          <w:lang w:eastAsia="en-US"/>
        </w:rPr>
      </w:pPr>
      <w:r>
        <w:rPr>
          <w:rFonts w:hint="cs"/>
          <w:b/>
          <w:bCs/>
          <w:sz w:val="22"/>
          <w:rtl/>
          <w:lang w:eastAsia="en-US"/>
        </w:rPr>
        <w:t xml:space="preserve">רח' שבטי ישראל 34 </w:t>
      </w:r>
    </w:p>
    <w:p>
      <w:pPr>
        <w:widowControl w:val="0"/>
        <w:spacing w:line="300" w:lineRule="atLeast"/>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pPr>
        <w:widowControl w:val="0"/>
        <w:spacing w:line="300" w:lineRule="atLeast"/>
        <w:ind w:left="1417"/>
        <w:jc w:val="left"/>
        <w:rPr>
          <w:b/>
          <w:bCs/>
          <w:sz w:val="32"/>
          <w:szCs w:val="32"/>
          <w:rtl/>
          <w:lang w:eastAsia="en-US"/>
        </w:rPr>
      </w:pPr>
    </w:p>
    <w:p>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8/4.2025</w:t>
      </w:r>
      <w:r>
        <w:rPr>
          <w:rFonts w:hint="cs"/>
          <w:b/>
          <w:bCs/>
          <w:sz w:val="32"/>
          <w:szCs w:val="32"/>
          <w:rtl/>
          <w:lang w:eastAsia="en-US"/>
        </w:rPr>
        <w:t xml:space="preserve">: </w:t>
      </w:r>
      <w:r>
        <w:rPr>
          <w:rFonts w:hint="cs"/>
          <w:b/>
          <w:bCs/>
          <w:sz w:val="32"/>
          <w:szCs w:val="32"/>
          <w:u w:val="single"/>
          <w:rtl/>
          <w:lang w:eastAsia="en-US"/>
        </w:rPr>
        <w:t>הפעלת תוכנית העשרה במוסדות אקדמיים, בתחומי דעת שונים לתלמידים מחוננים ומצטיינים</w:t>
      </w:r>
    </w:p>
    <w:p>
      <w:pPr>
        <w:widowControl w:val="0"/>
        <w:spacing w:line="300" w:lineRule="atLeast"/>
        <w:rPr>
          <w:sz w:val="22"/>
          <w:rtl/>
          <w:lang w:eastAsia="en-US"/>
        </w:rPr>
      </w:pPr>
    </w:p>
    <w:p>
      <w:pPr>
        <w:widowControl w:val="0"/>
        <w:spacing w:line="300" w:lineRule="atLeast"/>
        <w:ind w:left="1417"/>
        <w:rPr>
          <w:b/>
          <w:bCs/>
          <w:sz w:val="28"/>
          <w:szCs w:val="28"/>
          <w:rtl/>
          <w:lang w:eastAsia="en-US"/>
        </w:rPr>
      </w:pPr>
      <w:r>
        <w:rPr>
          <w:rFonts w:hint="cs"/>
          <w:b/>
          <w:bCs/>
          <w:sz w:val="28"/>
          <w:szCs w:val="28"/>
          <w:rtl/>
          <w:lang w:eastAsia="en-US"/>
        </w:rPr>
        <w:t>יש לציין על המעטפה הסגורה את מספר המכרז ונושאו.</w:t>
      </w:r>
    </w:p>
    <w:p>
      <w:pPr>
        <w:widowControl w:val="0"/>
        <w:spacing w:line="300" w:lineRule="atLeast"/>
        <w:rPr>
          <w:sz w:val="22"/>
          <w:rtl/>
          <w:lang w:eastAsia="en-US"/>
        </w:rPr>
      </w:pPr>
    </w:p>
    <w:p>
      <w:pPr>
        <w:widowControl w:val="0"/>
        <w:spacing w:line="300" w:lineRule="atLeast"/>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w:t>
      </w:r>
      <w:r>
        <w:rPr>
          <w:rFonts w:hint="cs"/>
          <w:b/>
          <w:bCs/>
          <w:sz w:val="26"/>
          <w:szCs w:val="26"/>
          <w:lang w:eastAsia="en-US"/>
        </w:rPr>
        <w:t xml:space="preserve"> </w:t>
      </w:r>
      <w:r>
        <w:rPr>
          <w:b/>
          <w:bCs/>
          <w:sz w:val="26"/>
          <w:szCs w:val="26"/>
          <w:lang w:eastAsia="en-US"/>
        </w:rPr>
        <w:t>9.6.2025</w:t>
      </w:r>
      <w:r>
        <w:rPr>
          <w:rFonts w:hint="cs"/>
          <w:b/>
          <w:bCs/>
          <w:sz w:val="26"/>
          <w:szCs w:val="26"/>
          <w:rtl/>
          <w:lang w:eastAsia="en-US"/>
        </w:rPr>
        <w:t>,י"ג סיוון תשפ"ה, שעה:</w:t>
      </w:r>
      <w:r>
        <w:rPr>
          <w:rFonts w:hint="cs"/>
          <w:b/>
          <w:bCs/>
          <w:sz w:val="26"/>
          <w:szCs w:val="26"/>
          <w:u w:val="single"/>
          <w:rtl/>
          <w:lang w:eastAsia="en-US"/>
        </w:rPr>
        <w:t xml:space="preserve"> 11:00</w:t>
      </w:r>
    </w:p>
    <w:p>
      <w:pPr>
        <w:widowControl w:val="0"/>
        <w:spacing w:line="300" w:lineRule="atLeast"/>
        <w:ind w:left="1440"/>
        <w:rPr>
          <w:b/>
          <w:bCs/>
          <w:sz w:val="14"/>
          <w:szCs w:val="18"/>
          <w:rtl/>
          <w:lang w:eastAsia="en-US"/>
        </w:rPr>
      </w:pPr>
    </w:p>
    <w:p>
      <w:pPr>
        <w:widowControl w:val="0"/>
        <w:spacing w:line="300" w:lineRule="atLeast"/>
        <w:ind w:left="1440"/>
        <w:rPr>
          <w:b/>
          <w:bCs/>
          <w:sz w:val="20"/>
          <w:szCs w:val="26"/>
          <w:rtl/>
          <w:lang w:eastAsia="en-US"/>
        </w:rPr>
      </w:pPr>
      <w:r>
        <w:rPr>
          <w:rFonts w:hint="cs"/>
          <w:b/>
          <w:bCs/>
          <w:sz w:val="20"/>
          <w:szCs w:val="26"/>
          <w:rtl/>
          <w:lang w:eastAsia="en-US"/>
        </w:rPr>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pPr>
        <w:widowControl w:val="0"/>
        <w:spacing w:line="300" w:lineRule="atLeast"/>
        <w:ind w:left="1440"/>
        <w:rPr>
          <w:b/>
          <w:bCs/>
          <w:sz w:val="20"/>
          <w:szCs w:val="26"/>
          <w:rtl/>
          <w:lang w:eastAsia="en-US"/>
        </w:rPr>
      </w:pPr>
    </w:p>
    <w:p>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בפקס</w:t>
      </w:r>
      <w:bookmarkStart w:id="38" w:name="_GoBack"/>
      <w:bookmarkEnd w:id="38"/>
      <w:r>
        <w:rPr>
          <w:rFonts w:hint="cs"/>
          <w:b/>
          <w:bCs/>
          <w:sz w:val="20"/>
          <w:szCs w:val="26"/>
          <w:rtl/>
          <w:lang w:eastAsia="en-US"/>
        </w:rPr>
        <w:t xml:space="preserve"> או בדואר אלקטרוני- תיפסל על הסף.</w:t>
      </w:r>
    </w:p>
    <w:p>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60288" behindDoc="0" locked="0" layoutInCell="1" allowOverlap="1">
                <wp:simplePos x="0" y="0"/>
                <wp:positionH relativeFrom="column">
                  <wp:posOffset>-25400</wp:posOffset>
                </wp:positionH>
                <wp:positionV relativeFrom="paragraph">
                  <wp:posOffset>12065</wp:posOffset>
                </wp:positionV>
                <wp:extent cx="5405755" cy="909955"/>
                <wp:effectExtent l="0" t="0" r="0" b="0"/>
                <wp:wrapNone/>
                <wp:docPr id="4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3" style="position:absolute;left:0;text-align:left;margin-left:-2pt;margin-top:.95pt;width:425.65pt;height:7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enWeVIUCAAAdBQAADgAAAAAAAAAAAAAAAAAuAgAAZHJzL2Uyb0RvYy54bWxQSwECLQAUAAYACAAA&#10;ACEA8Q9XzN8AAAAIAQAADwAAAAAAAAAAAAAAAADfBAAAZHJzL2Rvd25yZXYueG1sUEsFBgAAAAAE&#10;AAQA8wAAAOsFAAAAAA==&#10;">
                <v:shadow on="t" opacity=".5" offset="3pt,-3pt"/>
                <v:textbo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pPr>
        <w:widowControl w:val="0"/>
        <w:spacing w:line="300" w:lineRule="atLeast"/>
        <w:rPr>
          <w:sz w:val="22"/>
          <w:szCs w:val="22"/>
          <w:rtl/>
          <w:lang w:eastAsia="en-US"/>
        </w:rPr>
      </w:pPr>
    </w:p>
    <w:p>
      <w:pPr>
        <w:widowControl w:val="0"/>
        <w:spacing w:line="300" w:lineRule="atLeast"/>
        <w:rPr>
          <w:sz w:val="22"/>
          <w:szCs w:val="22"/>
          <w:rtl/>
          <w:lang w:eastAsia="en-US"/>
        </w:rPr>
      </w:pPr>
    </w:p>
    <w:p>
      <w:pPr>
        <w:widowControl w:val="0"/>
        <w:spacing w:line="300" w:lineRule="atLeast"/>
        <w:rPr>
          <w:sz w:val="22"/>
          <w:szCs w:val="22"/>
          <w:rtl/>
          <w:lang w:eastAsia="en-US"/>
        </w:rPr>
      </w:pPr>
    </w:p>
    <w:p>
      <w:pPr>
        <w:widowControl w:val="0"/>
        <w:spacing w:line="300" w:lineRule="atLeast"/>
        <w:rPr>
          <w:sz w:val="22"/>
          <w:szCs w:val="22"/>
          <w:rtl/>
          <w:lang w:eastAsia="en-US"/>
        </w:rPr>
      </w:pPr>
    </w:p>
    <w:p>
      <w:pPr>
        <w:widowControl w:val="0"/>
        <w:spacing w:line="300" w:lineRule="atLeast"/>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אורנה מיטמיגר</w:t>
      </w:r>
    </w:p>
    <w:p>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pPr>
        <w:widowControl w:val="0"/>
        <w:spacing w:line="240" w:lineRule="auto"/>
        <w:ind w:left="-33"/>
        <w:jc w:val="right"/>
      </w:pPr>
      <w:bookmarkStart w:id="39" w:name="_נספח_א_–_[טבלת_שינויים_שבוצעו_בהורא"/>
      <w:bookmarkEnd w:id="39"/>
      <w:r>
        <w:rPr>
          <w:rtl/>
        </w:rPr>
        <w:br w:type="page"/>
      </w:r>
    </w:p>
    <w:p>
      <w:pPr>
        <w:widowControl w:val="0"/>
        <w:spacing w:line="240" w:lineRule="auto"/>
        <w:ind w:left="-33"/>
        <w:jc w:val="right"/>
        <w:rPr>
          <w:rtl/>
        </w:rPr>
      </w:pP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1"/>
        <w:numPr>
          <w:ilvl w:val="0"/>
          <w:numId w:val="17"/>
        </w:numPr>
        <w:shd w:val="clear" w:color="auto" w:fill="F2F2F2"/>
        <w:overflowPunct/>
        <w:autoSpaceDE/>
        <w:autoSpaceDN/>
        <w:adjustRightInd/>
        <w:spacing w:after="180" w:line="276" w:lineRule="auto"/>
        <w:ind w:left="521" w:right="0" w:hanging="521"/>
        <w:jc w:val="left"/>
        <w:textAlignment w:val="auto"/>
      </w:pPr>
      <w:r>
        <w:rPr>
          <w:rtl/>
        </w:rPr>
        <w:t>מבוא</w:t>
      </w:r>
    </w:p>
    <w:p>
      <w:pPr>
        <w:pStyle w:val="24"/>
        <w:numPr>
          <w:ilvl w:val="1"/>
          <w:numId w:val="17"/>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pPr>
        <w:pStyle w:val="24"/>
        <w:numPr>
          <w:ilvl w:val="1"/>
          <w:numId w:val="17"/>
        </w:numPr>
        <w:spacing w:line="276" w:lineRule="auto"/>
        <w:ind w:left="567" w:right="-426" w:hanging="567"/>
        <w:rPr>
          <w:rtl/>
        </w:rPr>
      </w:pPr>
      <w:r>
        <w:rPr>
          <w:rtl/>
        </w:rPr>
        <w:t>מדיניות ימי האשראי של ממשלת ישראל כפופה ל</w:t>
      </w:r>
      <w:hyperlink r:id="rId16"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pPr>
        <w:pStyle w:val="24"/>
        <w:numPr>
          <w:ilvl w:val="1"/>
          <w:numId w:val="17"/>
        </w:numPr>
        <w:spacing w:line="276" w:lineRule="auto"/>
        <w:ind w:left="567" w:right="-426" w:hanging="567"/>
      </w:pPr>
      <w:r>
        <w:rPr>
          <w:rFonts w:hint="cs"/>
          <w:rtl/>
        </w:rPr>
        <w:t xml:space="preserve">בחודש פברואר 2021 פורסמו </w:t>
      </w:r>
      <w:hyperlink r:id="rId17"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pPr>
        <w:pStyle w:val="24"/>
        <w:numPr>
          <w:ilvl w:val="1"/>
          <w:numId w:val="17"/>
        </w:numPr>
        <w:spacing w:line="276" w:lineRule="auto"/>
        <w:ind w:left="567" w:right="-426"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pPr>
        <w:pStyle w:val="24"/>
        <w:numPr>
          <w:ilvl w:val="1"/>
          <w:numId w:val="17"/>
        </w:numPr>
        <w:spacing w:line="276" w:lineRule="auto"/>
        <w:ind w:left="567" w:right="-426" w:hanging="567"/>
        <w:rPr>
          <w:rtl/>
        </w:rPr>
      </w:pPr>
      <w:r>
        <w:rPr>
          <w:rtl/>
        </w:rPr>
        <w:t>הוראה זו תחול על כל תשלום לספקי 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pPr>
        <w:pStyle w:val="24"/>
        <w:numPr>
          <w:ilvl w:val="1"/>
          <w:numId w:val="17"/>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pPr>
        <w:pStyle w:val="34"/>
        <w:numPr>
          <w:ilvl w:val="2"/>
          <w:numId w:val="17"/>
        </w:numPr>
        <w:tabs>
          <w:tab w:val="clear" w:pos="1304"/>
          <w:tab w:val="left" w:pos="1371"/>
        </w:tabs>
        <w:spacing w:line="276" w:lineRule="auto"/>
        <w:ind w:left="1371" w:right="-426"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pPr>
        <w:pStyle w:val="34"/>
        <w:numPr>
          <w:ilvl w:val="2"/>
          <w:numId w:val="17"/>
        </w:numPr>
        <w:tabs>
          <w:tab w:val="clear" w:pos="1304"/>
          <w:tab w:val="left" w:pos="1371"/>
        </w:tabs>
        <w:spacing w:line="276" w:lineRule="auto"/>
        <w:ind w:left="1371" w:right="-426" w:hanging="804"/>
        <w:rPr>
          <w:rtl/>
        </w:rPr>
      </w:pPr>
      <w:r>
        <w:rPr>
          <w:rtl/>
        </w:rPr>
        <w:t>תשלום לגוף נתמך – בהתאם ל</w:t>
      </w:r>
      <w:hyperlink r:id="rId20" w:history="1">
        <w:r>
          <w:rPr>
            <w:rStyle w:val="Hyperlink"/>
            <w:rtl/>
          </w:rPr>
          <w:t>הוראת תכ"ם, "תמיכות במוסדות ציבור", מס' 6.1.0.1</w:t>
        </w:r>
      </w:hyperlink>
      <w:r>
        <w:rPr>
          <w:rtl/>
        </w:rPr>
        <w:t>.</w:t>
      </w:r>
    </w:p>
    <w:p>
      <w:pPr>
        <w:pStyle w:val="34"/>
        <w:numPr>
          <w:ilvl w:val="2"/>
          <w:numId w:val="17"/>
        </w:numPr>
        <w:tabs>
          <w:tab w:val="clear" w:pos="1304"/>
          <w:tab w:val="left" w:pos="1371"/>
        </w:tabs>
        <w:spacing w:line="276" w:lineRule="auto"/>
        <w:ind w:left="1371" w:right="-426" w:hanging="804"/>
        <w:rPr>
          <w:rtl/>
        </w:rPr>
      </w:pPr>
      <w:r>
        <w:rPr>
          <w:rtl/>
        </w:rPr>
        <w:t>תשלום בהתאם לפסק דין – בהתאם ל</w:t>
      </w:r>
      <w:hyperlink r:id="rId21" w:history="1">
        <w:r>
          <w:rPr>
            <w:rStyle w:val="Hyperlink"/>
            <w:rtl/>
          </w:rPr>
          <w:t>הוראת תכ"ם, "תשלום עקב פסק דין שניתן כנגד המדינה", מס' 1.5.0.4</w:t>
        </w:r>
      </w:hyperlink>
      <w:r>
        <w:rPr>
          <w:rtl/>
        </w:rPr>
        <w:t>.</w:t>
      </w:r>
    </w:p>
    <w:p>
      <w:pPr>
        <w:pStyle w:val="34"/>
        <w:numPr>
          <w:ilvl w:val="2"/>
          <w:numId w:val="17"/>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pPr>
        <w:pStyle w:val="34"/>
        <w:numPr>
          <w:ilvl w:val="2"/>
          <w:numId w:val="17"/>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22" w:history="1">
        <w:r>
          <w:rPr>
            <w:rStyle w:val="Hyperlink"/>
            <w:rtl/>
          </w:rPr>
          <w:t xml:space="preserve"> חוק נכסי מדינה</w:t>
        </w:r>
        <w:r>
          <w:rPr>
            <w:rStyle w:val="Hyperlink"/>
            <w:rFonts w:hint="cs"/>
            <w:rtl/>
          </w:rPr>
          <w:t>,</w:t>
        </w:r>
        <w:r>
          <w:rPr>
            <w:rStyle w:val="Hyperlink"/>
            <w:rtl/>
          </w:rPr>
          <w:t xml:space="preserve"> תשי"א-1951.</w:t>
        </w:r>
      </w:hyperlink>
    </w:p>
    <w:p>
      <w:pPr>
        <w:pStyle w:val="34"/>
        <w:numPr>
          <w:ilvl w:val="2"/>
          <w:numId w:val="17"/>
        </w:numPr>
        <w:tabs>
          <w:tab w:val="clear" w:pos="1304"/>
          <w:tab w:val="left" w:pos="1371"/>
        </w:tabs>
        <w:spacing w:line="276" w:lineRule="auto"/>
        <w:ind w:left="1371" w:right="-426" w:hanging="804"/>
        <w:rPr>
          <w:rtl/>
        </w:rPr>
      </w:pPr>
      <w:r>
        <w:rPr>
          <w:rtl/>
        </w:rPr>
        <w:t>תשלום לספקים מחו"ל – בהתאם להסכמים הפרטניים.</w:t>
      </w:r>
    </w:p>
    <w:p>
      <w:pPr>
        <w:pStyle w:val="34"/>
        <w:numPr>
          <w:ilvl w:val="2"/>
          <w:numId w:val="17"/>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pPr>
        <w:pStyle w:val="34"/>
        <w:numPr>
          <w:ilvl w:val="2"/>
          <w:numId w:val="17"/>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תשלומים</w:t>
      </w:r>
      <w:r>
        <w:rPr>
          <w:rtl/>
        </w:rPr>
        <w:t xml:space="preserve"> ותקנותיו.</w:t>
      </w:r>
    </w:p>
    <w:p>
      <w:pPr>
        <w:pStyle w:val="22"/>
        <w:numPr>
          <w:ilvl w:val="1"/>
          <w:numId w:val="17"/>
        </w:numPr>
        <w:spacing w:line="276" w:lineRule="auto"/>
        <w:ind w:left="567" w:right="-426" w:hanging="567"/>
      </w:pPr>
      <w:r>
        <w:rPr>
          <w:rtl/>
        </w:rPr>
        <w:t>מטר</w:t>
      </w:r>
      <w:r>
        <w:rPr>
          <w:rFonts w:hint="cs"/>
          <w:rtl/>
        </w:rPr>
        <w:t>ו</w:t>
      </w:r>
      <w:r>
        <w:rPr>
          <w:rtl/>
        </w:rPr>
        <w:t>ת ההוראה</w:t>
      </w:r>
    </w:p>
    <w:p>
      <w:pPr>
        <w:pStyle w:val="34"/>
        <w:numPr>
          <w:ilvl w:val="2"/>
          <w:numId w:val="17"/>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pPr>
        <w:pStyle w:val="34"/>
        <w:numPr>
          <w:ilvl w:val="2"/>
          <w:numId w:val="17"/>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התשלומים,</w:t>
      </w:r>
      <w:r>
        <w:rPr>
          <w:rtl/>
        </w:rPr>
        <w:t xml:space="preserve"> במסגרת חוק</w:t>
      </w:r>
      <w:r>
        <w:rPr>
          <w:rFonts w:hint="cs"/>
          <w:rtl/>
        </w:rPr>
        <w:t xml:space="preserve"> מוסר תשלומים</w:t>
      </w:r>
      <w:r>
        <w:rPr>
          <w:rtl/>
        </w:rPr>
        <w:t>.</w:t>
      </w:r>
    </w:p>
    <w:p>
      <w:pPr>
        <w:pStyle w:val="34"/>
        <w:numPr>
          <w:ilvl w:val="2"/>
          <w:numId w:val="17"/>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pPr>
        <w:pStyle w:val="24"/>
        <w:numPr>
          <w:ilvl w:val="1"/>
          <w:numId w:val="17"/>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pPr>
        <w:pStyle w:val="24"/>
        <w:spacing w:line="240" w:lineRule="auto"/>
        <w:ind w:left="792" w:right="-426" w:firstLine="0"/>
        <w:rPr>
          <w:rtl/>
        </w:rPr>
      </w:pPr>
    </w:p>
    <w:p>
      <w:pPr>
        <w:pStyle w:val="24"/>
        <w:spacing w:line="240" w:lineRule="auto"/>
        <w:ind w:left="792" w:right="-426" w:firstLine="0"/>
        <w:rPr>
          <w:rtl/>
        </w:rPr>
      </w:pPr>
    </w:p>
    <w:p>
      <w:pPr>
        <w:pStyle w:val="24"/>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23"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24"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25"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p>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1"/>
        <w:numPr>
          <w:ilvl w:val="0"/>
          <w:numId w:val="17"/>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pPr>
        <w:pStyle w:val="24"/>
        <w:numPr>
          <w:ilvl w:val="1"/>
          <w:numId w:val="17"/>
        </w:numPr>
        <w:spacing w:line="276" w:lineRule="auto"/>
        <w:ind w:left="567" w:hanging="567"/>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pPr>
        <w:pStyle w:val="24"/>
        <w:numPr>
          <w:ilvl w:val="1"/>
          <w:numId w:val="17"/>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26" w:history="1">
        <w:r>
          <w:rPr>
            <w:rStyle w:val="Hyperlink"/>
            <w:rtl/>
          </w:rPr>
          <w:t>הוראת תכ"ם, "התקשרות עם ספק מוכר לביצוע עבודות הנדסה בנאיות", מס' 7.3.9.4.</w:t>
        </w:r>
      </w:hyperlink>
    </w:p>
    <w:p>
      <w:pPr>
        <w:pStyle w:val="24"/>
        <w:numPr>
          <w:ilvl w:val="1"/>
          <w:numId w:val="17"/>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pPr>
        <w:pStyle w:val="24"/>
        <w:numPr>
          <w:ilvl w:val="1"/>
          <w:numId w:val="17"/>
        </w:numPr>
        <w:spacing w:line="276" w:lineRule="auto"/>
        <w:ind w:left="567" w:hanging="567"/>
      </w:pPr>
      <w:r>
        <w:rPr>
          <w:rFonts w:hint="cs"/>
          <w:rtl/>
        </w:rPr>
        <w:t>במקרים חריגים, חשב המשרד רשאי לאשר כי מועדי התשלום יהיו בהתאם למפורט להלן:</w:t>
      </w:r>
    </w:p>
    <w:p>
      <w:pPr>
        <w:pStyle w:val="34"/>
        <w:numPr>
          <w:ilvl w:val="2"/>
          <w:numId w:val="17"/>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עבודות הנדסה בנאיות, </w:t>
      </w:r>
      <w:r>
        <w:rPr>
          <w:rtl/>
        </w:rPr>
        <w:t>לא יאוחר מ- 30 ימים מתום אותו החודש שבמהלכו הומצא החשבון למזמין.</w:t>
      </w:r>
    </w:p>
    <w:p>
      <w:pPr>
        <w:pStyle w:val="34"/>
        <w:numPr>
          <w:ilvl w:val="2"/>
          <w:numId w:val="17"/>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pPr>
        <w:pStyle w:val="24"/>
        <w:numPr>
          <w:ilvl w:val="1"/>
          <w:numId w:val="17"/>
        </w:numPr>
        <w:spacing w:line="276" w:lineRule="auto"/>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27" w:history="1">
        <w:r>
          <w:rPr>
            <w:rStyle w:val="Hyperlink"/>
            <w:rtl/>
          </w:rPr>
          <w:t>חוק הרשויות המקומיות (העברת תשלומים מהמדינה), תשנ"ה-1995.</w:t>
        </w:r>
      </w:hyperlink>
      <w:r>
        <w:rPr>
          <w:rtl/>
        </w:rPr>
        <w:t xml:space="preserve"> </w:t>
      </w:r>
    </w:p>
    <w:p>
      <w:pPr>
        <w:pStyle w:val="24"/>
        <w:numPr>
          <w:ilvl w:val="1"/>
          <w:numId w:val="17"/>
        </w:numPr>
        <w:spacing w:line="276" w:lineRule="auto"/>
        <w:ind w:left="567" w:hanging="567"/>
      </w:pPr>
      <w:r>
        <w:rPr>
          <w:rtl/>
        </w:rPr>
        <w:t>פיגורים במועדי תשלום יישאו ריבית</w:t>
      </w:r>
      <w:r>
        <w:rPr>
          <w:rFonts w:hint="cs"/>
          <w:rtl/>
        </w:rPr>
        <w:t>,</w:t>
      </w:r>
      <w:r>
        <w:rPr>
          <w:rtl/>
        </w:rPr>
        <w:t xml:space="preserve"> כמפורט ב</w:t>
      </w:r>
      <w:hyperlink r:id="rId28" w:history="1">
        <w:r>
          <w:rPr>
            <w:rStyle w:val="Hyperlink"/>
            <w:rtl/>
          </w:rPr>
          <w:t>חוק</w:t>
        </w:r>
      </w:hyperlink>
      <w:r>
        <w:rPr>
          <w:rFonts w:hint="cs"/>
          <w:rtl/>
        </w:rPr>
        <w:t xml:space="preserve"> מוסר תשלומים.</w:t>
      </w:r>
    </w:p>
    <w:p>
      <w:pPr>
        <w:pStyle w:val="24"/>
        <w:numPr>
          <w:ilvl w:val="1"/>
          <w:numId w:val="17"/>
        </w:numPr>
        <w:spacing w:line="276" w:lineRule="auto"/>
        <w:ind w:left="567" w:hanging="567"/>
        <w:rPr>
          <w:u w:val="single"/>
        </w:rPr>
      </w:pPr>
      <w:r>
        <w:rPr>
          <w:rFonts w:hint="cs"/>
          <w:u w:val="single"/>
          <w:rtl/>
        </w:rPr>
        <w:t>נאמני חוק מוסר תשלומים</w:t>
      </w:r>
    </w:p>
    <w:p>
      <w:pPr>
        <w:pStyle w:val="34"/>
        <w:numPr>
          <w:ilvl w:val="2"/>
          <w:numId w:val="17"/>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pPr>
        <w:pStyle w:val="40"/>
        <w:numPr>
          <w:ilvl w:val="3"/>
          <w:numId w:val="17"/>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 xml:space="preserve">מטעם חשבות המשרד,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r>
        <w:rPr>
          <w:rFonts w:hint="cs"/>
          <w:rtl/>
        </w:rPr>
        <w:t>ה</w:t>
      </w:r>
      <w:r>
        <w:rPr>
          <w:rtl/>
        </w:rPr>
        <w:t>חשבות</w:t>
      </w:r>
      <w:r>
        <w:rPr>
          <w:rFonts w:hint="cs"/>
          <w:rtl/>
        </w:rPr>
        <w:t xml:space="preserve">. </w:t>
      </w:r>
    </w:p>
    <w:p>
      <w:pPr>
        <w:pStyle w:val="40"/>
        <w:numPr>
          <w:ilvl w:val="3"/>
          <w:numId w:val="17"/>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 xml:space="preserve">כל אחד בתחומו,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29" w:history="1">
        <w:r>
          <w:rPr>
            <w:rStyle w:val="Hyperlink"/>
            <w:rFonts w:cs="Arial"/>
            <w:rtl/>
          </w:rPr>
          <w:t>חוק עסקאות גופים ציבוריים</w:t>
        </w:r>
        <w:r>
          <w:rPr>
            <w:rStyle w:val="Hyperlink"/>
            <w:rFonts w:cs="Arial" w:hint="cs"/>
            <w:rtl/>
          </w:rPr>
          <w:t>, תשל"ו-1976</w:t>
        </w:r>
      </w:hyperlink>
      <w:r>
        <w:rPr>
          <w:rtl/>
        </w:rPr>
        <w:t xml:space="preserve"> </w:t>
      </w:r>
      <w:r>
        <w:rPr>
          <w:rFonts w:hint="cs"/>
          <w:rtl/>
        </w:rPr>
        <w:t>(</w:t>
      </w:r>
      <w:r>
        <w:rPr>
          <w:rtl/>
        </w:rPr>
        <w:t>תיקון 10).</w:t>
      </w:r>
    </w:p>
    <w:p>
      <w:pPr>
        <w:pStyle w:val="24"/>
        <w:numPr>
          <w:ilvl w:val="1"/>
          <w:numId w:val="17"/>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סמנכ"ל למינהל</w:t>
      </w:r>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pPr>
        <w:pStyle w:val="24"/>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30"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31"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32"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22"/>
        <w:numPr>
          <w:ilvl w:val="1"/>
          <w:numId w:val="17"/>
        </w:numPr>
        <w:spacing w:line="276" w:lineRule="auto"/>
        <w:ind w:left="567" w:right="0" w:hanging="567"/>
        <w:rPr>
          <w:rFonts w:ascii="David" w:hAnsi="David" w:cs="David"/>
        </w:rPr>
      </w:pPr>
      <w:r>
        <w:rPr>
          <w:rFonts w:ascii="David" w:hAnsi="David" w:cs="David"/>
          <w:rtl/>
        </w:rPr>
        <w:t>פיקוח, בקרה ודיווח</w:t>
      </w:r>
    </w:p>
    <w:p>
      <w:pPr>
        <w:pStyle w:val="34"/>
        <w:numPr>
          <w:ilvl w:val="2"/>
          <w:numId w:val="17"/>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pPr>
        <w:pStyle w:val="40"/>
        <w:numPr>
          <w:ilvl w:val="3"/>
          <w:numId w:val="17"/>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pPr>
        <w:pStyle w:val="40"/>
        <w:numPr>
          <w:ilvl w:val="3"/>
          <w:numId w:val="17"/>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pPr>
        <w:pStyle w:val="34"/>
        <w:numPr>
          <w:ilvl w:val="2"/>
          <w:numId w:val="17"/>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 של כל שנה):</w:t>
      </w:r>
    </w:p>
    <w:p>
      <w:pPr>
        <w:pStyle w:val="40"/>
        <w:numPr>
          <w:ilvl w:val="3"/>
          <w:numId w:val="17"/>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pPr>
        <w:pStyle w:val="40"/>
        <w:numPr>
          <w:ilvl w:val="3"/>
          <w:numId w:val="17"/>
        </w:numPr>
        <w:tabs>
          <w:tab w:val="clear" w:pos="1304"/>
          <w:tab w:val="left" w:pos="1371"/>
          <w:tab w:val="left" w:pos="2268"/>
        </w:tabs>
        <w:ind w:left="2268" w:hanging="897"/>
        <w:rPr>
          <w:sz w:val="22"/>
          <w:szCs w:val="22"/>
          <w:rtl/>
        </w:rPr>
      </w:pPr>
      <w:r>
        <w:rPr>
          <w:sz w:val="22"/>
          <w:szCs w:val="22"/>
          <w:rtl/>
        </w:rPr>
        <w:t>הדוח יופק בגין התקופה שחלה מתחילת השנה ועד לסוף הרבעון המדווח.</w:t>
      </w:r>
    </w:p>
    <w:p>
      <w:pPr>
        <w:pStyle w:val="40"/>
        <w:numPr>
          <w:ilvl w:val="3"/>
          <w:numId w:val="17"/>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pPr>
        <w:pStyle w:val="40"/>
        <w:numPr>
          <w:ilvl w:val="3"/>
          <w:numId w:val="17"/>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pPr>
        <w:pStyle w:val="34"/>
        <w:numPr>
          <w:ilvl w:val="2"/>
          <w:numId w:val="17"/>
        </w:numPr>
        <w:tabs>
          <w:tab w:val="clear" w:pos="1304"/>
          <w:tab w:val="left" w:pos="1371"/>
        </w:tabs>
        <w:ind w:left="1371" w:hanging="804"/>
        <w:rPr>
          <w:rFonts w:ascii="David" w:hAnsi="David" w:cs="David"/>
        </w:rPr>
      </w:pPr>
      <w:r>
        <w:rPr>
          <w:rFonts w:ascii="David" w:hAnsi="David" w:cs="David"/>
          <w:rtl/>
        </w:rPr>
        <w:t>דיווח שנתי:</w:t>
      </w:r>
    </w:p>
    <w:p>
      <w:pPr>
        <w:pStyle w:val="40"/>
        <w:numPr>
          <w:ilvl w:val="3"/>
          <w:numId w:val="19"/>
        </w:numPr>
        <w:tabs>
          <w:tab w:val="clear" w:pos="1304"/>
          <w:tab w:val="left" w:pos="1371"/>
          <w:tab w:val="left" w:pos="2268"/>
        </w:tabs>
        <w:ind w:left="2222" w:hanging="851"/>
        <w:rPr>
          <w:sz w:val="22"/>
          <w:szCs w:val="22"/>
        </w:rPr>
      </w:pPr>
      <w:r>
        <w:rPr>
          <w:sz w:val="22"/>
          <w:szCs w:val="22"/>
          <w:rtl/>
        </w:rPr>
        <w:t>תוך 3 חודשים מתום שנת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pPr>
        <w:pStyle w:val="40"/>
        <w:numPr>
          <w:ilvl w:val="3"/>
          <w:numId w:val="17"/>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pPr>
        <w:pStyle w:val="40"/>
        <w:numPr>
          <w:ilvl w:val="3"/>
          <w:numId w:val="17"/>
        </w:numPr>
        <w:tabs>
          <w:tab w:val="clear" w:pos="1304"/>
          <w:tab w:val="left" w:pos="1371"/>
          <w:tab w:val="left" w:pos="2268"/>
        </w:tabs>
        <w:ind w:left="2268" w:hanging="897"/>
        <w:rPr>
          <w:sz w:val="22"/>
          <w:szCs w:val="22"/>
        </w:rPr>
      </w:pPr>
      <w:r>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pPr>
        <w:pStyle w:val="24"/>
        <w:numPr>
          <w:ilvl w:val="1"/>
          <w:numId w:val="17"/>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pPr>
        <w:pStyle w:val="24"/>
        <w:numPr>
          <w:ilvl w:val="1"/>
          <w:numId w:val="17"/>
        </w:numPr>
        <w:ind w:left="567" w:hanging="567"/>
        <w:rPr>
          <w:rFonts w:ascii="David" w:hAnsi="David" w:cs="David"/>
        </w:rPr>
      </w:pPr>
      <w:r>
        <w:rPr>
          <w:rFonts w:ascii="David" w:hAnsi="David" w:cs="David"/>
          <w:rtl/>
        </w:rPr>
        <w:t>חשב המשרד יהיה רשאי לאשר תשלום מקדמות בהתאם ל</w:t>
      </w:r>
      <w:hyperlink r:id="rId33" w:history="1">
        <w:r>
          <w:rPr>
            <w:rStyle w:val="Hyperlink"/>
            <w:rFonts w:ascii="David" w:hAnsi="David" w:cs="David"/>
            <w:rtl/>
          </w:rPr>
          <w:t>הוראת תכ"ם, "תשלום מקדמות", מס' 1.4.0.6.</w:t>
        </w:r>
      </w:hyperlink>
    </w:p>
    <w:p>
      <w:pPr>
        <w:pStyle w:val="22"/>
        <w:numPr>
          <w:ilvl w:val="1"/>
          <w:numId w:val="17"/>
        </w:numPr>
        <w:ind w:left="567" w:right="0" w:hanging="567"/>
        <w:rPr>
          <w:rFonts w:ascii="David" w:hAnsi="David" w:cs="David"/>
        </w:rPr>
      </w:pPr>
      <w:r>
        <w:rPr>
          <w:rFonts w:ascii="David" w:hAnsi="David" w:cs="David"/>
          <w:rtl/>
        </w:rPr>
        <w:t>הוראות מעבר</w:t>
      </w:r>
    </w:p>
    <w:p>
      <w:pPr>
        <w:pStyle w:val="34"/>
        <w:numPr>
          <w:ilvl w:val="2"/>
          <w:numId w:val="17"/>
        </w:numPr>
        <w:tabs>
          <w:tab w:val="clear" w:pos="1304"/>
          <w:tab w:val="left" w:pos="1371"/>
        </w:tabs>
        <w:ind w:left="1371" w:hanging="804"/>
        <w:rPr>
          <w:rtl/>
        </w:rPr>
      </w:pPr>
      <w:r>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34"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35"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36"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34"/>
        <w:numPr>
          <w:ilvl w:val="2"/>
          <w:numId w:val="17"/>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7" w:history="1">
        <w:r>
          <w:rPr>
            <w:rStyle w:val="Hyperlink"/>
            <w:rFonts w:ascii="David" w:hAnsi="David" w:cs="David"/>
            <w:rtl/>
          </w:rPr>
          <w:t>הוראת תכ"ם, "מועדי תשלום", מס' 1.4.0.3</w:t>
        </w:r>
      </w:hyperlink>
      <w:r>
        <w:rPr>
          <w:rFonts w:ascii="David" w:hAnsi="David" w:cs="David"/>
          <w:rtl/>
        </w:rPr>
        <w:t xml:space="preserve">, מהדורה 01). </w:t>
      </w:r>
    </w:p>
    <w:p>
      <w:pPr>
        <w:pStyle w:val="11"/>
        <w:numPr>
          <w:ilvl w:val="0"/>
          <w:numId w:val="17"/>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pPr>
        <w:pStyle w:val="24"/>
        <w:numPr>
          <w:ilvl w:val="1"/>
          <w:numId w:val="17"/>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pPr>
        <w:pStyle w:val="24"/>
        <w:numPr>
          <w:ilvl w:val="1"/>
          <w:numId w:val="17"/>
        </w:numPr>
        <w:ind w:left="567" w:hanging="567"/>
        <w:rPr>
          <w:rStyle w:val="Hyperlink"/>
          <w:rFonts w:ascii="David" w:hAnsi="David" w:cs="David"/>
        </w:rPr>
      </w:pPr>
      <w:r>
        <w:rPr>
          <w:rStyle w:val="Hyperlink"/>
          <w:rFonts w:ascii="David" w:hAnsi="David" w:cs="David"/>
          <w:rtl/>
        </w:rPr>
        <w:fldChar w:fldCharType="end"/>
      </w:r>
      <w:hyperlink r:id="rId38" w:history="1">
        <w:r>
          <w:rPr>
            <w:rStyle w:val="Hyperlink"/>
            <w:rFonts w:ascii="David" w:hAnsi="David" w:cs="David"/>
            <w:rtl/>
          </w:rPr>
          <w:t>חוק חתימה אלקטרונית, תשס"א-2001</w:t>
        </w:r>
      </w:hyperlink>
      <w:r>
        <w:rPr>
          <w:rStyle w:val="Hyperlink"/>
          <w:rFonts w:ascii="David" w:hAnsi="David" w:cs="David"/>
          <w:rtl/>
        </w:rPr>
        <w:t>.</w:t>
      </w:r>
    </w:p>
    <w:p>
      <w:pPr>
        <w:pStyle w:val="24"/>
        <w:numPr>
          <w:ilvl w:val="1"/>
          <w:numId w:val="17"/>
        </w:numPr>
        <w:ind w:left="567" w:hanging="567"/>
        <w:rPr>
          <w:rStyle w:val="Hyperlink"/>
          <w:rFonts w:ascii="David" w:hAnsi="David" w:cs="David"/>
        </w:rPr>
      </w:pPr>
      <w:hyperlink r:id="rId39" w:history="1">
        <w:r>
          <w:rPr>
            <w:rStyle w:val="Hyperlink"/>
            <w:rFonts w:ascii="David" w:hAnsi="David" w:cs="David"/>
            <w:rtl/>
          </w:rPr>
          <w:t>חוק מוסר תשלומים לספקים, תשע"ז-2017.</w:t>
        </w:r>
      </w:hyperlink>
    </w:p>
    <w:p>
      <w:pPr>
        <w:pStyle w:val="24"/>
        <w:numPr>
          <w:ilvl w:val="1"/>
          <w:numId w:val="17"/>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pPr>
        <w:pStyle w:val="24"/>
        <w:numPr>
          <w:ilvl w:val="1"/>
          <w:numId w:val="17"/>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pPr>
        <w:pStyle w:val="24"/>
        <w:numPr>
          <w:ilvl w:val="1"/>
          <w:numId w:val="17"/>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pPr>
        <w:pStyle w:val="24"/>
        <w:numPr>
          <w:ilvl w:val="1"/>
          <w:numId w:val="17"/>
        </w:numPr>
        <w:ind w:left="567" w:hanging="567"/>
        <w:rPr>
          <w:rStyle w:val="Hyperlink"/>
          <w:rFonts w:ascii="David" w:hAnsi="David" w:cs="David"/>
        </w:rPr>
      </w:pPr>
      <w:r>
        <w:rPr>
          <w:rStyle w:val="Hyperlink"/>
          <w:rFonts w:ascii="David" w:hAnsi="David" w:cs="David"/>
          <w:rtl/>
        </w:rPr>
        <w:fldChar w:fldCharType="end"/>
      </w:r>
      <w:hyperlink r:id="rId40" w:history="1">
        <w:r>
          <w:rPr>
            <w:rStyle w:val="Hyperlink"/>
            <w:rFonts w:ascii="David" w:hAnsi="David" w:cs="David"/>
            <w:rtl/>
          </w:rPr>
          <w:t>חוק עסקאות גופים ציבוריים, תשל"ו-1976</w:t>
        </w:r>
      </w:hyperlink>
      <w:r>
        <w:rPr>
          <w:rStyle w:val="Hyperlink"/>
          <w:rFonts w:ascii="David" w:hAnsi="David" w:cs="David"/>
          <w:rtl/>
        </w:rPr>
        <w:t>.</w:t>
      </w:r>
    </w:p>
    <w:p>
      <w:pPr>
        <w:pStyle w:val="24"/>
        <w:numPr>
          <w:ilvl w:val="1"/>
          <w:numId w:val="17"/>
        </w:numPr>
        <w:ind w:left="567" w:hanging="567"/>
        <w:rPr>
          <w:rStyle w:val="Hyperlink"/>
          <w:rFonts w:ascii="David" w:hAnsi="David" w:cs="David"/>
        </w:rPr>
      </w:pPr>
      <w:hyperlink r:id="rId41"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pPr>
        <w:pStyle w:val="24"/>
        <w:numPr>
          <w:ilvl w:val="1"/>
          <w:numId w:val="17"/>
        </w:numPr>
        <w:ind w:left="567" w:hanging="567"/>
        <w:rPr>
          <w:rStyle w:val="Hyperlink"/>
          <w:rFonts w:ascii="David" w:hAnsi="David" w:cs="David"/>
        </w:rPr>
      </w:pPr>
      <w:hyperlink r:id="rId42" w:history="1">
        <w:r>
          <w:rPr>
            <w:rStyle w:val="Hyperlink"/>
            <w:rFonts w:ascii="David" w:hAnsi="David" w:cs="David"/>
            <w:rtl/>
          </w:rPr>
          <w:t>תקנות מס ערך מוסף (ניהול פנקסי חשבונות) תשל"ו-1976.</w:t>
        </w:r>
      </w:hyperlink>
    </w:p>
    <w:p>
      <w:pPr>
        <w:pStyle w:val="24"/>
        <w:numPr>
          <w:ilvl w:val="1"/>
          <w:numId w:val="17"/>
        </w:numPr>
        <w:ind w:left="567" w:hanging="567"/>
        <w:rPr>
          <w:rFonts w:ascii="David" w:hAnsi="David" w:cs="David"/>
          <w:rtl/>
        </w:rPr>
      </w:pPr>
      <w:hyperlink r:id="rId43" w:history="1">
        <w:r>
          <w:rPr>
            <w:rStyle w:val="Hyperlink"/>
            <w:rFonts w:ascii="David" w:hAnsi="David" w:cs="David"/>
            <w:rtl/>
          </w:rPr>
          <w:t>הוראת תכ"ם, "בדיקת חשבון", מס' 1.4.0.2</w:t>
        </w:r>
      </w:hyperlink>
      <w:r>
        <w:rPr>
          <w:rFonts w:ascii="David" w:hAnsi="David" w:cs="David"/>
          <w:rtl/>
        </w:rPr>
        <w:t>.</w:t>
      </w:r>
    </w:p>
    <w:p>
      <w:pPr>
        <w:pStyle w:val="24"/>
        <w:numPr>
          <w:ilvl w:val="1"/>
          <w:numId w:val="17"/>
        </w:numPr>
        <w:ind w:left="567" w:hanging="567"/>
        <w:rPr>
          <w:rStyle w:val="Hyperlink"/>
          <w:rFonts w:ascii="David" w:hAnsi="David" w:cs="David"/>
        </w:rPr>
      </w:pPr>
      <w:hyperlink r:id="rId44" w:history="1">
        <w:r>
          <w:rPr>
            <w:rStyle w:val="Hyperlink"/>
            <w:rFonts w:ascii="David" w:hAnsi="David" w:cs="David"/>
            <w:rtl/>
          </w:rPr>
          <w:t>הוראת תכ"ם, "מועדי תשלום", מס' 1.4.0.3</w:t>
        </w:r>
      </w:hyperlink>
      <w:r>
        <w:rPr>
          <w:rStyle w:val="Hyperlink"/>
          <w:rFonts w:ascii="David" w:hAnsi="David" w:cs="David"/>
          <w:rtl/>
        </w:rPr>
        <w:t>.</w:t>
      </w:r>
    </w:p>
    <w:p>
      <w:pPr>
        <w:pStyle w:val="24"/>
        <w:numPr>
          <w:ilvl w:val="1"/>
          <w:numId w:val="17"/>
        </w:numPr>
        <w:ind w:left="567" w:hanging="567"/>
        <w:rPr>
          <w:rFonts w:ascii="David" w:hAnsi="David" w:cs="David"/>
          <w:rtl/>
        </w:rPr>
      </w:pPr>
      <w:hyperlink r:id="rId45" w:history="1">
        <w:r>
          <w:rPr>
            <w:rStyle w:val="Hyperlink"/>
            <w:rFonts w:ascii="David" w:hAnsi="David" w:cs="David"/>
            <w:rtl/>
          </w:rPr>
          <w:t>הוראת תכ"ם, "תשלומי מקדמות", מס' 1.4.0.6</w:t>
        </w:r>
      </w:hyperlink>
      <w:r>
        <w:rPr>
          <w:rFonts w:ascii="David" w:hAnsi="David" w:cs="David"/>
          <w:rtl/>
        </w:rPr>
        <w:t>.</w:t>
      </w:r>
    </w:p>
    <w:p>
      <w:pPr>
        <w:pStyle w:val="24"/>
        <w:numPr>
          <w:ilvl w:val="1"/>
          <w:numId w:val="17"/>
        </w:numPr>
        <w:ind w:left="567" w:hanging="567"/>
        <w:rPr>
          <w:rFonts w:ascii="David" w:hAnsi="David" w:cs="David"/>
        </w:rPr>
      </w:pPr>
      <w:hyperlink r:id="rId46" w:history="1">
        <w:r>
          <w:rPr>
            <w:rStyle w:val="Hyperlink"/>
            <w:rFonts w:ascii="David" w:hAnsi="David" w:cs="David"/>
            <w:rtl/>
          </w:rPr>
          <w:t>הוראת תכ"ם, "תשלום עקב פסק דין שניתן כנגד המדינה", מס' 1.5.0.4.</w:t>
        </w:r>
      </w:hyperlink>
    </w:p>
    <w:p>
      <w:pPr>
        <w:pStyle w:val="24"/>
        <w:numPr>
          <w:ilvl w:val="1"/>
          <w:numId w:val="17"/>
        </w:numPr>
        <w:ind w:left="567" w:hanging="567"/>
        <w:rPr>
          <w:rFonts w:ascii="David" w:hAnsi="David" w:cs="David"/>
          <w:rtl/>
        </w:rPr>
      </w:pPr>
      <w:hyperlink r:id="rId47" w:history="1">
        <w:r>
          <w:rPr>
            <w:rStyle w:val="Hyperlink"/>
            <w:rFonts w:ascii="David" w:hAnsi="David" w:cs="David"/>
            <w:rtl/>
          </w:rPr>
          <w:t>הוראת תכ"ם, "אמצעי תשלום", מס' 1.6.0.1.</w:t>
        </w:r>
      </w:hyperlink>
    </w:p>
    <w:p>
      <w:pPr>
        <w:pStyle w:val="24"/>
        <w:numPr>
          <w:ilvl w:val="1"/>
          <w:numId w:val="17"/>
        </w:numPr>
        <w:ind w:left="567" w:hanging="567"/>
        <w:rPr>
          <w:rFonts w:ascii="David" w:hAnsi="David" w:cs="David"/>
        </w:rPr>
      </w:pPr>
      <w:hyperlink r:id="rId48" w:history="1">
        <w:r>
          <w:rPr>
            <w:rStyle w:val="Hyperlink"/>
            <w:rFonts w:ascii="David" w:hAnsi="David" w:cs="David"/>
            <w:rtl/>
          </w:rPr>
          <w:t>הוראות תכ"ם, "חיובים בין-משרדיים", מס' 1.6.0.7</w:t>
        </w:r>
      </w:hyperlink>
      <w:r>
        <w:rPr>
          <w:rFonts w:ascii="David" w:hAnsi="David" w:cs="David"/>
          <w:rtl/>
        </w:rPr>
        <w:t>.</w:t>
      </w:r>
    </w:p>
    <w:p>
      <w:pPr>
        <w:pStyle w:val="24"/>
        <w:numPr>
          <w:ilvl w:val="1"/>
          <w:numId w:val="17"/>
        </w:numPr>
        <w:ind w:left="567" w:hanging="567"/>
        <w:rPr>
          <w:rFonts w:ascii="David" w:hAnsi="David" w:cs="David"/>
          <w:rtl/>
        </w:rPr>
      </w:pPr>
      <w:hyperlink r:id="rId49" w:history="1">
        <w:r>
          <w:rPr>
            <w:rStyle w:val="Hyperlink"/>
            <w:rFonts w:ascii="David" w:hAnsi="David" w:cs="David"/>
            <w:rtl/>
          </w:rPr>
          <w:t>הוראת תכ"ם, "הטיפול בפשרות והסדרי חוב (לרבות מחיקות)", מס' 3.3.0.6.</w:t>
        </w:r>
      </w:hyperlink>
    </w:p>
    <w:p>
      <w:pPr>
        <w:pStyle w:val="24"/>
        <w:numPr>
          <w:ilvl w:val="1"/>
          <w:numId w:val="17"/>
        </w:numPr>
        <w:ind w:left="567" w:hanging="567"/>
        <w:rPr>
          <w:rFonts w:ascii="David" w:hAnsi="David" w:cs="David"/>
        </w:rPr>
      </w:pPr>
      <w:hyperlink r:id="rId50" w:history="1">
        <w:r>
          <w:rPr>
            <w:rStyle w:val="Hyperlink"/>
            <w:rFonts w:ascii="David" w:hAnsi="David" w:cs="David"/>
            <w:rtl/>
          </w:rPr>
          <w:t>הוראת תכ"ם, "תמיכות במוסדות ציבור", מס' 6.1.0.1</w:t>
        </w:r>
      </w:hyperlink>
      <w:r>
        <w:rPr>
          <w:rFonts w:ascii="David" w:hAnsi="David" w:cs="David"/>
          <w:rtl/>
        </w:rPr>
        <w:t>.</w:t>
      </w:r>
    </w:p>
    <w:p>
      <w:pPr>
        <w:pStyle w:val="24"/>
        <w:numPr>
          <w:ilvl w:val="1"/>
          <w:numId w:val="17"/>
        </w:numPr>
        <w:ind w:left="567" w:hanging="567"/>
        <w:rPr>
          <w:rFonts w:ascii="David" w:hAnsi="David" w:cs="David"/>
          <w:rtl/>
        </w:rPr>
      </w:pPr>
      <w:hyperlink r:id="rId51" w:history="1">
        <w:r>
          <w:rPr>
            <w:rStyle w:val="Hyperlink"/>
            <w:rFonts w:ascii="David" w:hAnsi="David" w:cs="David"/>
            <w:rtl/>
          </w:rPr>
          <w:t>הוראת תכ"ם, "התקשרות עם ספק מוכר לביצוע עבודות הנדסה בנאיות", מס' 7.3.9.4.</w:t>
        </w:r>
      </w:hyperlink>
    </w:p>
    <w:p>
      <w:pPr>
        <w:pStyle w:val="11"/>
        <w:numPr>
          <w:ilvl w:val="0"/>
          <w:numId w:val="17"/>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pPr>
        <w:pStyle w:val="24"/>
        <w:numPr>
          <w:ilvl w:val="1"/>
          <w:numId w:val="17"/>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pPr>
        <w:pStyle w:val="24"/>
        <w:numPr>
          <w:ilvl w:val="1"/>
          <w:numId w:val="17"/>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pPr>
        <w:pStyle w:val="24"/>
        <w:numPr>
          <w:ilvl w:val="1"/>
          <w:numId w:val="17"/>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52"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53"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4"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
        <w:pageBreakBefore w:val="0"/>
        <w:pBdr>
          <w:bottom w:val="single" w:sz="6" w:space="4" w:color="auto"/>
        </w:pBdr>
        <w:spacing w:before="0" w:after="0"/>
        <w:rPr>
          <w:rtl/>
        </w:rPr>
      </w:pPr>
      <w:r>
        <w:rPr>
          <w:rFonts w:hint="cs"/>
          <w:rtl/>
        </w:rPr>
        <w:t>נספח א</w:t>
      </w:r>
    </w:p>
    <w:p>
      <w:pPr>
        <w:pStyle w:val="-0"/>
      </w:pPr>
      <w:r>
        <w:rPr>
          <w:rFonts w:hint="eastAsia"/>
          <w:rtl/>
        </w:rPr>
        <w:t>הגדרות</w:t>
      </w:r>
    </w:p>
    <w:p>
      <w:pPr>
        <w:pStyle w:val="a0"/>
        <w:numPr>
          <w:ilvl w:val="0"/>
          <w:numId w:val="18"/>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5" w:history="1">
        <w:r>
          <w:rPr>
            <w:rStyle w:val="Hyperlink"/>
            <w:rtl/>
          </w:rPr>
          <w:t>חוק מס ערך מוסף, תשל"ו-1975</w:t>
        </w:r>
      </w:hyperlink>
      <w:r>
        <w:rPr>
          <w:rtl/>
        </w:rPr>
        <w:t xml:space="preserve"> </w:t>
      </w:r>
      <w:hyperlink r:id="rId56" w:history="1">
        <w:r>
          <w:rPr>
            <w:rStyle w:val="Hyperlink"/>
            <w:rtl/>
          </w:rPr>
          <w:t>ותקנות מס ערך מוסף (ניהול פנקסי חשבונות) תשל"ו-1976.</w:t>
        </w:r>
      </w:hyperlink>
    </w:p>
    <w:p>
      <w:pPr>
        <w:pStyle w:val="a0"/>
        <w:numPr>
          <w:ilvl w:val="0"/>
          <w:numId w:val="18"/>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pPr>
        <w:pStyle w:val="a0"/>
        <w:numPr>
          <w:ilvl w:val="0"/>
          <w:numId w:val="18"/>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7" w:history="1">
        <w:r>
          <w:rPr>
            <w:rStyle w:val="Hyperlink"/>
            <w:rtl/>
          </w:rPr>
          <w:t>הוראת תכ"ם, "בדיקת חשבון", מס' 1.4.0.2.</w:t>
        </w:r>
      </w:hyperlink>
    </w:p>
    <w:p>
      <w:pPr>
        <w:pStyle w:val="a0"/>
        <w:numPr>
          <w:ilvl w:val="0"/>
          <w:numId w:val="18"/>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8" w:history="1">
        <w:r>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pPr>
        <w:pStyle w:val="a0"/>
        <w:numPr>
          <w:ilvl w:val="1"/>
          <w:numId w:val="16"/>
        </w:numPr>
        <w:ind w:left="946" w:hanging="567"/>
        <w:rPr>
          <w:rtl/>
        </w:rPr>
      </w:pPr>
      <w:r>
        <w:rPr>
          <w:rtl/>
        </w:rPr>
        <w:t xml:space="preserve">מסירה אישית למזמין על ידי הספק או מי מטעמו. </w:t>
      </w:r>
    </w:p>
    <w:p>
      <w:pPr>
        <w:pStyle w:val="a0"/>
        <w:numPr>
          <w:ilvl w:val="1"/>
          <w:numId w:val="16"/>
        </w:numPr>
        <w:ind w:left="946" w:hanging="567"/>
        <w:rPr>
          <w:rtl/>
        </w:rPr>
      </w:pPr>
      <w:r>
        <w:rPr>
          <w:rtl/>
        </w:rPr>
        <w:t>דואר רשום עם אישור מסירה.</w:t>
      </w:r>
    </w:p>
    <w:p>
      <w:pPr>
        <w:pStyle w:val="a0"/>
        <w:numPr>
          <w:ilvl w:val="1"/>
          <w:numId w:val="16"/>
        </w:numPr>
        <w:ind w:left="946" w:hanging="567"/>
        <w:rPr>
          <w:rtl/>
        </w:rPr>
      </w:pPr>
      <w:r>
        <w:rPr>
          <w:rtl/>
        </w:rPr>
        <w:t>מסר אלקטרוני</w:t>
      </w:r>
      <w:r>
        <w:rPr>
          <w:rFonts w:hint="cs"/>
          <w:rtl/>
        </w:rPr>
        <w:t>,</w:t>
      </w:r>
      <w:r>
        <w:rPr>
          <w:rtl/>
        </w:rPr>
        <w:t xml:space="preserve"> כהגדרתו ב</w:t>
      </w:r>
      <w:hyperlink r:id="rId59" w:history="1">
        <w:r>
          <w:rPr>
            <w:rStyle w:val="Hyperlink"/>
            <w:rtl/>
          </w:rPr>
          <w:t>חוק חתימה אלקטרונית, תשס"א-2001</w:t>
        </w:r>
      </w:hyperlink>
      <w:r>
        <w:rPr>
          <w:rFonts w:hint="cs"/>
          <w:rtl/>
        </w:rPr>
        <w:t>,</w:t>
      </w:r>
      <w:r>
        <w:rPr>
          <w:rtl/>
        </w:rPr>
        <w:t xml:space="preserve"> עם אישור מסירה שניתן באמצעי אלקטרוני.</w:t>
      </w:r>
    </w:p>
    <w:p>
      <w:pPr>
        <w:pStyle w:val="a0"/>
        <w:numPr>
          <w:ilvl w:val="1"/>
          <w:numId w:val="16"/>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pPr>
        <w:pStyle w:val="a0"/>
        <w:numPr>
          <w:ilvl w:val="1"/>
          <w:numId w:val="16"/>
        </w:numPr>
        <w:ind w:left="946" w:hanging="567"/>
        <w:rPr>
          <w:rtl/>
        </w:rPr>
      </w:pPr>
      <w:r>
        <w:rPr>
          <w:rtl/>
        </w:rPr>
        <w:t>מסר אלקטרוני באמצעות מערכת ייעודית ממוחשבת של המזמין.</w:t>
      </w:r>
    </w:p>
    <w:p>
      <w:pPr>
        <w:pStyle w:val="a0"/>
        <w:numPr>
          <w:ilvl w:val="1"/>
          <w:numId w:val="16"/>
        </w:numPr>
        <w:ind w:left="946" w:hanging="567"/>
      </w:pPr>
      <w:r>
        <w:rPr>
          <w:rtl/>
        </w:rPr>
        <w:t>בדרך סבירה אחרת</w:t>
      </w:r>
      <w:r>
        <w:rPr>
          <w:rFonts w:hint="cs"/>
          <w:rtl/>
        </w:rPr>
        <w:t>,</w:t>
      </w:r>
      <w:r>
        <w:rPr>
          <w:rtl/>
        </w:rPr>
        <w:t xml:space="preserve"> שהוסכמה בין הספק למזמין.</w:t>
      </w:r>
    </w:p>
    <w:p>
      <w:pPr>
        <w:pStyle w:val="a0"/>
        <w:numPr>
          <w:ilvl w:val="0"/>
          <w:numId w:val="18"/>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pPr>
        <w:pStyle w:val="a0"/>
        <w:numPr>
          <w:ilvl w:val="0"/>
          <w:numId w:val="18"/>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60"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61"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62"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63"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bookmarkStart w:id="40" w:name="נספח_א"/>
      <w:bookmarkStart w:id="41" w:name="נספח_ב"/>
      <w:bookmarkStart w:id="42" w:name="נספח_ג"/>
      <w:bookmarkStart w:id="43" w:name="נספח_ד"/>
      <w:bookmarkStart w:id="44" w:name="נספח_ה"/>
      <w:bookmarkEnd w:id="40"/>
      <w:bookmarkEnd w:id="41"/>
      <w:bookmarkEnd w:id="42"/>
      <w:bookmarkEnd w:id="43"/>
      <w:bookmarkEnd w:id="44"/>
      <w:r>
        <w:rPr>
          <w:rFonts w:hint="cs"/>
          <w:rtl/>
        </w:rPr>
        <w:lastRenderedPageBreak/>
        <w:t xml:space="preserve"> נספח מספר 2</w:t>
      </w:r>
    </w:p>
    <w:p>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13</w:t>
      </w:r>
    </w:p>
    <w:p>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בין</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מצד אחד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לבין</w:t>
      </w:r>
    </w:p>
    <w:p>
      <w:pPr>
        <w:widowControl w:val="0"/>
        <w:overflowPunct/>
        <w:autoSpaceDE/>
        <w:autoSpaceDN/>
        <w:adjustRightInd/>
        <w:spacing w:line="240" w:lineRule="auto"/>
        <w:jc w:val="center"/>
        <w:textAlignment w:val="auto"/>
        <w:rPr>
          <w:b/>
          <w:bCs/>
          <w:noProof/>
          <w:rtl/>
        </w:rPr>
      </w:pPr>
    </w:p>
    <w:p>
      <w:pPr>
        <w:widowControl w:val="0"/>
        <w:overflowPunct/>
        <w:autoSpaceDE/>
        <w:autoSpaceDN/>
        <w:adjustRightInd/>
        <w:spacing w:line="300" w:lineRule="atLeast"/>
        <w:jc w:val="center"/>
        <w:textAlignment w:val="auto"/>
        <w:rPr>
          <w:noProof/>
          <w:rtl/>
        </w:rPr>
      </w:pPr>
      <w:r>
        <w:rPr>
          <w:noProof/>
          <w:rtl/>
        </w:rPr>
        <w:t>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"הספק"</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באמצעות__________________________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מצד שני</w:t>
      </w:r>
    </w:p>
    <w:p>
      <w:pPr>
        <w:widowControl w:val="0"/>
        <w:overflowPunct/>
        <w:autoSpaceDE/>
        <w:autoSpaceDN/>
        <w:adjustRightInd/>
        <w:spacing w:line="240" w:lineRule="auto"/>
        <w:textAlignment w:val="auto"/>
        <w:rPr>
          <w:b/>
          <w:bCs/>
          <w:noProof/>
          <w:rtl/>
        </w:rPr>
      </w:pPr>
    </w:p>
    <w:p>
      <w:pPr>
        <w:widowControl w:val="0"/>
        <w:overflowPunct/>
        <w:autoSpaceDE/>
        <w:autoSpaceDN/>
        <w:adjustRightInd/>
        <w:spacing w:line="300" w:lineRule="atLeast"/>
        <w:textAlignment w:val="auto"/>
        <w:rPr>
          <w:noProof/>
          <w:rtl/>
        </w:rPr>
      </w:pPr>
    </w:p>
    <w:p>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spacing w:line="240" w:lineRule="auto"/>
        <w:ind w:left="-33"/>
        <w:jc w:val="right"/>
        <w:rPr>
          <w:rtl/>
        </w:rPr>
      </w:pPr>
      <w:r>
        <w:rPr>
          <w:b/>
          <w:bCs/>
          <w:noProof/>
          <w:u w:val="single"/>
          <w:rtl/>
        </w:rPr>
        <w:br w:type="page"/>
      </w:r>
      <w:r>
        <w:rPr>
          <w:rFonts w:hint="cs"/>
          <w:rtl/>
        </w:rPr>
        <w:lastRenderedPageBreak/>
        <w:t xml:space="preserve"> נספח מספר 2</w:t>
      </w:r>
    </w:p>
    <w:p>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13</w:t>
      </w:r>
    </w:p>
    <w:p>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pPr>
        <w:widowControl w:val="0"/>
        <w:overflowPunct/>
        <w:autoSpaceDE/>
        <w:autoSpaceDN/>
        <w:adjustRightInd/>
        <w:spacing w:line="300" w:lineRule="atLeast"/>
        <w:textAlignment w:val="auto"/>
        <w:rPr>
          <w:b/>
          <w:bCs/>
          <w:noProof/>
          <w:rtl/>
        </w:rPr>
      </w:pPr>
    </w:p>
    <w:p>
      <w:pPr>
        <w:widowControl w:val="0"/>
        <w:numPr>
          <w:ilvl w:val="0"/>
          <w:numId w:val="12"/>
        </w:numPr>
        <w:spacing w:after="100" w:line="300" w:lineRule="atLeast"/>
        <w:textAlignment w:val="auto"/>
        <w:rPr>
          <w:b/>
          <w:bCs/>
          <w:u w:val="single"/>
          <w:rtl/>
          <w:lang w:eastAsia="en-US"/>
        </w:rPr>
      </w:pPr>
      <w:r>
        <w:rPr>
          <w:b/>
          <w:bCs/>
          <w:u w:val="single"/>
          <w:rtl/>
          <w:lang w:eastAsia="en-US"/>
        </w:rPr>
        <w:t>הגדרות</w:t>
      </w:r>
    </w:p>
    <w:p>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pPr>
        <w:widowControl w:val="0"/>
        <w:overflowPunct/>
        <w:autoSpaceDE/>
        <w:autoSpaceDN/>
        <w:adjustRightInd/>
        <w:spacing w:line="300" w:lineRule="atLeast"/>
        <w:ind w:left="651" w:hanging="651"/>
        <w:textAlignment w:val="auto"/>
        <w:rPr>
          <w:noProof/>
          <w:rtl/>
        </w:rPr>
      </w:pPr>
    </w:p>
    <w:p>
      <w:pPr>
        <w:widowControl w:val="0"/>
        <w:numPr>
          <w:ilvl w:val="1"/>
          <w:numId w:val="13"/>
        </w:numPr>
        <w:overflowPunct/>
        <w:autoSpaceDE/>
        <w:autoSpaceDN/>
        <w:adjustRightInd/>
        <w:spacing w:line="300" w:lineRule="atLeast"/>
        <w:textAlignment w:val="auto"/>
        <w:rPr>
          <w:noProof/>
          <w:rtl/>
        </w:rPr>
      </w:pPr>
      <w:r>
        <w:rPr>
          <w:b/>
          <w:bCs/>
          <w:noProof/>
          <w:rtl/>
        </w:rPr>
        <w:t>"המכרז"</w:t>
      </w:r>
      <w:r>
        <w:rPr>
          <w:noProof/>
          <w:rtl/>
        </w:rPr>
        <w:t xml:space="preserve"> - מכרז מס' </w:t>
      </w:r>
      <w:r>
        <w:rPr>
          <w:b/>
          <w:bCs/>
          <w:noProof/>
          <w:u w:val="single"/>
        </w:rPr>
        <w:t>8/4.2025</w:t>
      </w:r>
      <w:r>
        <w:rPr>
          <w:rFonts w:hint="cs"/>
          <w:noProof/>
          <w:rtl/>
        </w:rPr>
        <w:t xml:space="preserve"> </w:t>
      </w:r>
      <w:r>
        <w:rPr>
          <w:noProof/>
          <w:rtl/>
        </w:rPr>
        <w:t>מיום</w:t>
      </w:r>
      <w:r>
        <w:rPr>
          <w:rFonts w:hint="cs"/>
          <w:b/>
          <w:bCs/>
          <w:noProof/>
          <w:rtl/>
        </w:rPr>
        <w:t xml:space="preserve"> </w:t>
      </w:r>
      <w:r>
        <w:rPr>
          <w:rFonts w:hint="eastAsia"/>
          <w:b/>
          <w:bCs/>
          <w:noProof/>
          <w:highlight w:val="yellow"/>
          <w:u w:val="single"/>
          <w:rtl/>
        </w:rPr>
        <w:t>‏</w:t>
      </w:r>
      <w:r>
        <w:rPr>
          <w:b/>
          <w:bCs/>
          <w:noProof/>
          <w:rtl/>
        </w:rPr>
        <w:t>21 אפריל 2025</w:t>
      </w:r>
      <w:r>
        <w:rPr>
          <w:rFonts w:hint="cs"/>
          <w:b/>
          <w:bCs/>
          <w:noProof/>
          <w:rtl/>
        </w:rPr>
        <w:t xml:space="preserve">, </w:t>
      </w:r>
      <w:r>
        <w:rPr>
          <w:rFonts w:hint="eastAsia"/>
          <w:b/>
          <w:bCs/>
          <w:noProof/>
          <w:rtl/>
        </w:rPr>
        <w:t>‏כ</w:t>
      </w:r>
      <w:r>
        <w:rPr>
          <w:b/>
          <w:bCs/>
          <w:noProof/>
          <w:rtl/>
        </w:rPr>
        <w:t>"ג ניסן תשפ"ה</w:t>
      </w:r>
      <w:r>
        <w:rPr>
          <w:rFonts w:hint="cs"/>
          <w:b/>
          <w:bCs/>
          <w:noProof/>
          <w:rtl/>
        </w:rPr>
        <w:t>,</w:t>
      </w:r>
      <w:r>
        <w:rPr>
          <w:rFonts w:hint="cs"/>
          <w:noProof/>
          <w:rtl/>
        </w:rPr>
        <w:t xml:space="preserve"> </w:t>
      </w:r>
      <w:r>
        <w:rPr>
          <w:noProof/>
          <w:rtl/>
        </w:rPr>
        <w:t>שענינו</w:t>
      </w:r>
      <w:r>
        <w:rPr>
          <w:rFonts w:hint="cs"/>
          <w:noProof/>
          <w:rtl/>
        </w:rPr>
        <w:t xml:space="preserve"> </w:t>
      </w:r>
      <w:r>
        <w:rPr>
          <w:rFonts w:hint="cs"/>
          <w:b/>
          <w:bCs/>
          <w:u w:val="single"/>
          <w:rtl/>
          <w:lang w:eastAsia="en-US"/>
        </w:rPr>
        <w:t>הפעלת תוכנית העשרה במוסדות אקדמיים, בתחומי דעת שונים לתלמידים מחוננים ומצטיינים</w:t>
      </w:r>
    </w:p>
    <w:p>
      <w:pPr>
        <w:widowControl w:val="0"/>
        <w:numPr>
          <w:ilvl w:val="1"/>
          <w:numId w:val="13"/>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האגף למחוננים ומצטיינים</w:t>
      </w:r>
    </w:p>
    <w:p>
      <w:pPr>
        <w:widowControl w:val="0"/>
        <w:numPr>
          <w:ilvl w:val="1"/>
          <w:numId w:val="13"/>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pPr>
        <w:widowControl w:val="0"/>
        <w:tabs>
          <w:tab w:val="num" w:pos="1275"/>
        </w:tabs>
        <w:overflowPunct/>
        <w:autoSpaceDE/>
        <w:autoSpaceDN/>
        <w:adjustRightInd/>
        <w:spacing w:line="300" w:lineRule="atLeast"/>
        <w:ind w:left="1275" w:hanging="567"/>
        <w:textAlignment w:val="auto"/>
        <w:rPr>
          <w:b/>
          <w:bCs/>
          <w:noProof/>
          <w:rtl/>
        </w:rPr>
      </w:pPr>
    </w:p>
    <w:p>
      <w:pPr>
        <w:widowControl w:val="0"/>
        <w:tabs>
          <w:tab w:val="num" w:pos="1275"/>
        </w:tabs>
        <w:overflowPunct/>
        <w:autoSpaceDE/>
        <w:autoSpaceDN/>
        <w:adjustRightInd/>
        <w:spacing w:line="300" w:lineRule="atLeast"/>
        <w:ind w:left="1275" w:hanging="567"/>
        <w:textAlignment w:val="auto"/>
        <w:rPr>
          <w:b/>
          <w:bCs/>
          <w:noProof/>
          <w:rtl/>
        </w:rPr>
      </w:pPr>
    </w:p>
    <w:p>
      <w:pPr>
        <w:widowControl w:val="0"/>
        <w:numPr>
          <w:ilvl w:val="0"/>
          <w:numId w:val="13"/>
        </w:numPr>
        <w:spacing w:after="100" w:line="300" w:lineRule="atLeast"/>
        <w:textAlignment w:val="auto"/>
        <w:rPr>
          <w:b/>
          <w:bCs/>
          <w:u w:val="single"/>
          <w:rtl/>
          <w:lang w:eastAsia="en-US"/>
        </w:rPr>
      </w:pPr>
      <w:r>
        <w:rPr>
          <w:b/>
          <w:bCs/>
          <w:u w:val="single"/>
          <w:rtl/>
          <w:lang w:eastAsia="en-US"/>
        </w:rPr>
        <w:t>כללי</w:t>
      </w:r>
    </w:p>
    <w:p>
      <w:pPr>
        <w:widowControl w:val="0"/>
        <w:numPr>
          <w:ilvl w:val="1"/>
          <w:numId w:val="13"/>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overflowPunct/>
        <w:autoSpaceDE/>
        <w:autoSpaceDN/>
        <w:adjustRightInd/>
        <w:spacing w:line="240" w:lineRule="auto"/>
        <w:ind w:left="645" w:right="1005"/>
        <w:textAlignment w:val="auto"/>
        <w:rPr>
          <w:noProof/>
        </w:rPr>
      </w:pPr>
    </w:p>
    <w:p>
      <w:pPr>
        <w:widowControl w:val="0"/>
        <w:numPr>
          <w:ilvl w:val="1"/>
          <w:numId w:val="13"/>
        </w:numPr>
        <w:overflowPunct/>
        <w:autoSpaceDE/>
        <w:autoSpaceDN/>
        <w:adjustRightInd/>
        <w:spacing w:line="300" w:lineRule="atLeast"/>
        <w:textAlignment w:val="auto"/>
        <w:rPr>
          <w:noProof/>
          <w:rtl/>
        </w:rPr>
      </w:pPr>
      <w:r>
        <w:rPr>
          <w:noProof/>
          <w:rtl/>
        </w:rPr>
        <w:t>הנספחים לחוזה זה הם:</w:t>
      </w:r>
    </w:p>
    <w:p>
      <w:pPr>
        <w:widowControl w:val="0"/>
        <w:numPr>
          <w:ilvl w:val="2"/>
          <w:numId w:val="13"/>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 xml:space="preserve">8/4.2025 </w:t>
      </w:r>
      <w:r>
        <w:rPr>
          <w:rFonts w:hint="cs"/>
          <w:noProof/>
          <w:rtl/>
        </w:rPr>
        <w:t xml:space="preserve"> </w:t>
      </w:r>
      <w:r>
        <w:rPr>
          <w:noProof/>
          <w:rtl/>
        </w:rPr>
        <w:t>מיום</w:t>
      </w:r>
      <w:r>
        <w:rPr>
          <w:rFonts w:hint="cs"/>
          <w:b/>
          <w:bCs/>
          <w:noProof/>
          <w:rtl/>
        </w:rPr>
        <w:t xml:space="preserve"> </w:t>
      </w:r>
      <w:r>
        <w:rPr>
          <w:b/>
          <w:bCs/>
          <w:noProof/>
          <w:rtl/>
        </w:rPr>
        <w:t>21 אפריל 2025</w:t>
      </w:r>
      <w:r>
        <w:rPr>
          <w:rFonts w:hint="cs"/>
          <w:b/>
          <w:bCs/>
          <w:noProof/>
          <w:rtl/>
        </w:rPr>
        <w:t xml:space="preserve">, </w:t>
      </w:r>
      <w:r>
        <w:rPr>
          <w:rFonts w:hint="eastAsia"/>
          <w:b/>
          <w:bCs/>
          <w:noProof/>
          <w:rtl/>
        </w:rPr>
        <w:t>‏כ</w:t>
      </w:r>
      <w:r>
        <w:rPr>
          <w:b/>
          <w:bCs/>
          <w:noProof/>
          <w:rtl/>
        </w:rPr>
        <w:t>"ג ניסן תשפ"ה</w:t>
      </w:r>
      <w:r>
        <w:rPr>
          <w:rFonts w:hint="cs"/>
          <w:b/>
          <w:bCs/>
          <w:noProof/>
          <w:rtl/>
        </w:rPr>
        <w:t>,</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נספח ג' - מסגרת העבודה.</w:t>
      </w:r>
    </w:p>
    <w:p>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נספח ד' - ערבות בנקאית.</w:t>
      </w:r>
    </w:p>
    <w:p>
      <w:pPr>
        <w:widowControl w:val="0"/>
        <w:numPr>
          <w:ilvl w:val="2"/>
          <w:numId w:val="13"/>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pPr>
        <w:widowControl w:val="0"/>
        <w:overflowPunct/>
        <w:autoSpaceDE/>
        <w:autoSpaceDN/>
        <w:adjustRightInd/>
        <w:spacing w:line="300" w:lineRule="atLeast"/>
        <w:ind w:left="645" w:right="1005"/>
        <w:textAlignment w:val="auto"/>
        <w:rPr>
          <w:noProof/>
        </w:rPr>
      </w:pPr>
    </w:p>
    <w:p>
      <w:pPr>
        <w:widowControl w:val="0"/>
        <w:numPr>
          <w:ilvl w:val="1"/>
          <w:numId w:val="13"/>
        </w:numPr>
        <w:overflowPunct/>
        <w:autoSpaceDE/>
        <w:autoSpaceDN/>
        <w:adjustRightInd/>
        <w:spacing w:line="300" w:lineRule="atLeast"/>
        <w:textAlignment w:val="auto"/>
        <w:rPr>
          <w:noProof/>
          <w:rtl/>
        </w:rPr>
      </w:pPr>
      <w:r>
        <w:rPr>
          <w:b/>
          <w:bCs/>
          <w:noProof/>
          <w:u w:val="single"/>
          <w:rtl/>
        </w:rPr>
        <w:t>סתירה בין מסמכים</w:t>
      </w:r>
    </w:p>
    <w:p>
      <w:pPr>
        <w:widowControl w:val="0"/>
        <w:overflowPunct/>
        <w:autoSpaceDE/>
        <w:autoSpaceDN/>
        <w:adjustRightInd/>
        <w:spacing w:line="300" w:lineRule="atLeast"/>
        <w:ind w:left="1275"/>
        <w:textAlignment w:val="auto"/>
        <w:rPr>
          <w:noProof/>
          <w:rtl/>
        </w:rPr>
      </w:pPr>
    </w:p>
    <w:p>
      <w:pPr>
        <w:widowControl w:val="0"/>
        <w:numPr>
          <w:ilvl w:val="2"/>
          <w:numId w:val="13"/>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13"/>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spacing w:line="300" w:lineRule="atLeast"/>
        <w:textAlignment w:val="auto"/>
        <w:rPr>
          <w:b/>
          <w:bCs/>
          <w:u w:val="single"/>
          <w:rtl/>
          <w:lang w:eastAsia="en-US"/>
        </w:rPr>
      </w:pPr>
    </w:p>
    <w:p>
      <w:pPr>
        <w:widowControl w:val="0"/>
        <w:numPr>
          <w:ilvl w:val="0"/>
          <w:numId w:val="13"/>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13"/>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pPr>
        <w:widowControl w:val="0"/>
        <w:overflowPunct/>
        <w:autoSpaceDE/>
        <w:autoSpaceDN/>
        <w:adjustRightInd/>
        <w:spacing w:line="300" w:lineRule="atLeast"/>
        <w:ind w:left="651"/>
        <w:textAlignment w:val="auto"/>
        <w:rPr>
          <w:noProof/>
          <w:rtl/>
        </w:rPr>
      </w:pPr>
    </w:p>
    <w:p>
      <w:pPr>
        <w:widowControl w:val="0"/>
        <w:numPr>
          <w:ilvl w:val="1"/>
          <w:numId w:val="13"/>
        </w:numPr>
        <w:overflowPunct/>
        <w:autoSpaceDE/>
        <w:autoSpaceDN/>
        <w:adjustRightInd/>
        <w:spacing w:line="300" w:lineRule="atLeast"/>
        <w:textAlignment w:val="auto"/>
        <w:rPr>
          <w:noProof/>
          <w:rtl/>
        </w:rPr>
      </w:pPr>
      <w:r>
        <w:rPr>
          <w:b/>
          <w:bCs/>
          <w:noProof/>
          <w:u w:val="single"/>
          <w:rtl/>
        </w:rPr>
        <w:t>הארכת התקשרות</w:t>
      </w:r>
    </w:p>
    <w:p>
      <w:pPr>
        <w:widowControl w:val="0"/>
        <w:overflowPunct/>
        <w:autoSpaceDE/>
        <w:autoSpaceDN/>
        <w:adjustRightInd/>
        <w:spacing w:line="300" w:lineRule="atLeast"/>
        <w:ind w:left="1275"/>
        <w:textAlignment w:val="auto"/>
        <w:rPr>
          <w:noProof/>
          <w:rtl/>
        </w:rPr>
      </w:pPr>
    </w:p>
    <w:p>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overflowPunct/>
        <w:autoSpaceDE/>
        <w:autoSpaceDN/>
        <w:adjustRightInd/>
        <w:spacing w:line="240" w:lineRule="auto"/>
        <w:ind w:left="1275"/>
        <w:textAlignment w:val="auto"/>
        <w:rPr>
          <w:noProof/>
        </w:rPr>
      </w:pPr>
    </w:p>
    <w:p>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35712" behindDoc="1" locked="0" layoutInCell="1" allowOverlap="1">
                <wp:simplePos x="0" y="0"/>
                <wp:positionH relativeFrom="column">
                  <wp:posOffset>-198120</wp:posOffset>
                </wp:positionH>
                <wp:positionV relativeFrom="paragraph">
                  <wp:posOffset>114935</wp:posOffset>
                </wp:positionV>
                <wp:extent cx="5955030" cy="861695"/>
                <wp:effectExtent l="0" t="0" r="0" b="0"/>
                <wp:wrapNone/>
                <wp:docPr id="4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15.6pt;margin-top:9.05pt;width:468.9pt;height:67.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">
                <v:shadow on="t" opacity=".5" offset="3pt,-3pt"/>
              </v:rect>
            </w:pict>
          </mc:Fallback>
        </mc:AlternateContent>
      </w:r>
    </w:p>
    <w:p>
      <w:pPr>
        <w:widowControl w:val="0"/>
        <w:numPr>
          <w:ilvl w:val="1"/>
          <w:numId w:val="13"/>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300" w:lineRule="atLeast"/>
        <w:ind w:left="709"/>
        <w:rPr>
          <w:b/>
          <w:bCs/>
          <w:lang w:eastAsia="en-US"/>
        </w:rPr>
      </w:pPr>
    </w:p>
    <w:p>
      <w:pPr>
        <w:widowControl w:val="0"/>
        <w:spacing w:line="240" w:lineRule="auto"/>
        <w:ind w:left="7905" w:firstLine="33"/>
        <w:rPr>
          <w:rtl/>
        </w:rPr>
      </w:pPr>
      <w:r>
        <w:rPr>
          <w:rFonts w:hint="cs"/>
          <w:rtl/>
        </w:rPr>
        <w:t xml:space="preserve">         נספח מספר 2</w:t>
      </w:r>
    </w:p>
    <w:p>
      <w:pPr>
        <w:widowControl w:val="0"/>
        <w:overflowPunct/>
        <w:autoSpaceDE/>
        <w:autoSpaceDN/>
        <w:adjustRightInd/>
        <w:spacing w:line="300" w:lineRule="atLeast"/>
        <w:ind w:left="708"/>
        <w:jc w:val="right"/>
        <w:textAlignment w:val="auto"/>
        <w:rPr>
          <w:b/>
          <w:bCs/>
          <w:rtl/>
          <w:lang w:eastAsia="en-US"/>
        </w:rPr>
      </w:pPr>
      <w:r>
        <w:rPr>
          <w:rFonts w:hint="cs"/>
          <w:rtl/>
        </w:rPr>
        <w:lastRenderedPageBreak/>
        <w:t xml:space="preserve">דף </w:t>
      </w:r>
      <w:r>
        <w:rPr>
          <w:rStyle w:val="ad"/>
        </w:rPr>
        <w:t>3</w:t>
      </w:r>
      <w:r>
        <w:rPr>
          <w:rFonts w:hint="cs"/>
          <w:rtl/>
        </w:rPr>
        <w:t xml:space="preserve"> מתוך 13</w:t>
      </w:r>
    </w:p>
    <w:p>
      <w:pPr>
        <w:widowControl w:val="0"/>
        <w:numPr>
          <w:ilvl w:val="0"/>
          <w:numId w:val="13"/>
        </w:numPr>
        <w:spacing w:after="160" w:line="300" w:lineRule="atLeast"/>
        <w:textAlignment w:val="auto"/>
        <w:rPr>
          <w:b/>
          <w:bCs/>
          <w:u w:val="single"/>
          <w:rtl/>
          <w:lang w:eastAsia="en-US"/>
        </w:rPr>
      </w:pPr>
      <w:r>
        <w:rPr>
          <w:b/>
          <w:bCs/>
          <w:u w:val="single"/>
          <w:rtl/>
          <w:lang w:eastAsia="en-US"/>
        </w:rPr>
        <w:t>התמורה</w:t>
      </w:r>
    </w:p>
    <w:p>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pPr>
        <w:widowControl w:val="0"/>
        <w:numPr>
          <w:ilvl w:val="1"/>
          <w:numId w:val="13"/>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pPr>
        <w:widowControl w:val="0"/>
        <w:numPr>
          <w:ilvl w:val="1"/>
          <w:numId w:val="13"/>
        </w:numPr>
        <w:overflowPunct/>
        <w:autoSpaceDE/>
        <w:autoSpaceDN/>
        <w:adjustRightInd/>
        <w:spacing w:after="160" w:line="300" w:lineRule="atLeast"/>
        <w:textAlignment w:val="auto"/>
        <w:rPr>
          <w:noProof/>
        </w:rPr>
      </w:pPr>
      <w:r>
        <w:rPr>
          <w:b/>
          <w:bCs/>
          <w:noProof/>
          <w:u w:val="single"/>
          <w:rtl/>
        </w:rPr>
        <w:t>נוהל התשלום</w:t>
      </w:r>
    </w:p>
    <w:p>
      <w:pPr>
        <w:widowControl w:val="0"/>
        <w:numPr>
          <w:ilvl w:val="2"/>
          <w:numId w:val="13"/>
        </w:numPr>
        <w:overflowPunct/>
        <w:autoSpaceDE/>
        <w:autoSpaceDN/>
        <w:adjustRightInd/>
        <w:spacing w:after="100" w:line="300" w:lineRule="atLeast"/>
        <w:ind w:left="2269" w:hanging="851"/>
        <w:textAlignment w:val="auto"/>
        <w:rPr>
          <w:noProof/>
        </w:rPr>
      </w:pPr>
      <w:r>
        <w:rPr>
          <w:noProof/>
          <w:rtl/>
        </w:rPr>
        <w:t>צד ב' יגיש למשרד דו"ח המפרט את כל השירותים שביצע במהלך החודש האחרון, וכן חשבונית מס מפורטת שהונפקה על ידו.</w:t>
      </w:r>
    </w:p>
    <w:p>
      <w:pPr>
        <w:widowControl w:val="0"/>
        <w:numPr>
          <w:ilvl w:val="2"/>
          <w:numId w:val="13"/>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pPr>
        <w:widowControl w:val="0"/>
        <w:numPr>
          <w:ilvl w:val="2"/>
          <w:numId w:val="13"/>
        </w:numPr>
        <w:overflowPunct/>
        <w:autoSpaceDE/>
        <w:autoSpaceDN/>
        <w:adjustRightInd/>
        <w:spacing w:after="100" w:line="300" w:lineRule="atLeast"/>
        <w:ind w:left="2269" w:hanging="851"/>
        <w:textAlignment w:val="auto"/>
        <w:rPr>
          <w:noProof/>
          <w:rtl/>
        </w:rPr>
      </w:pPr>
      <w:r>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pPr>
        <w:widowControl w:val="0"/>
        <w:numPr>
          <w:ilvl w:val="2"/>
          <w:numId w:val="13"/>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pPr>
        <w:widowControl w:val="0"/>
        <w:tabs>
          <w:tab w:val="left" w:pos="-2042"/>
        </w:tabs>
        <w:overflowPunct/>
        <w:autoSpaceDE/>
        <w:autoSpaceDN/>
        <w:adjustRightInd/>
        <w:spacing w:line="280" w:lineRule="atLeast"/>
        <w:textAlignment w:val="auto"/>
        <w:rPr>
          <w:noProof/>
        </w:rPr>
      </w:pPr>
    </w:p>
    <w:p>
      <w:pPr>
        <w:widowControl w:val="0"/>
        <w:numPr>
          <w:ilvl w:val="1"/>
          <w:numId w:val="13"/>
        </w:numPr>
        <w:overflowPunct/>
        <w:autoSpaceDE/>
        <w:autoSpaceDN/>
        <w:adjustRightInd/>
        <w:textAlignment w:val="auto"/>
        <w:rPr>
          <w:b/>
          <w:bCs/>
          <w:noProof/>
          <w:u w:val="single"/>
          <w:rtl/>
        </w:rPr>
      </w:pPr>
      <w:r>
        <w:rPr>
          <w:b/>
          <w:bCs/>
          <w:noProof/>
          <w:u w:val="single"/>
          <w:rtl/>
        </w:rPr>
        <w:t>מקדמות</w:t>
      </w:r>
    </w:p>
    <w:p>
      <w:pPr>
        <w:widowControl w:val="0"/>
        <w:tabs>
          <w:tab w:val="left" w:pos="-2042"/>
        </w:tabs>
        <w:overflowPunct/>
        <w:autoSpaceDE/>
        <w:autoSpaceDN/>
        <w:adjustRightInd/>
        <w:spacing w:line="300" w:lineRule="atLeast"/>
        <w:ind w:left="1418"/>
        <w:textAlignment w:val="auto"/>
        <w:rPr>
          <w:noProof/>
          <w:rtl/>
        </w:rPr>
      </w:pPr>
      <w:r>
        <w:rPr>
          <w:noProof/>
          <w:rtl/>
        </w:rPr>
        <w:t>אם ישלם המשרד לצד ב' מקדמות, הן תשולמנה בהתאם לאישורו של חשב המשרד ובכפוף להוראות החשב הכללי.</w:t>
      </w:r>
    </w:p>
    <w:p>
      <w:pPr>
        <w:widowControl w:val="0"/>
        <w:tabs>
          <w:tab w:val="left" w:pos="-2042"/>
        </w:tabs>
        <w:overflowPunct/>
        <w:autoSpaceDE/>
        <w:autoSpaceDN/>
        <w:adjustRightInd/>
        <w:spacing w:line="300" w:lineRule="atLeast"/>
        <w:ind w:left="1275"/>
        <w:textAlignment w:val="auto"/>
        <w:rPr>
          <w:noProof/>
          <w:rtl/>
        </w:rPr>
      </w:pPr>
    </w:p>
    <w:p>
      <w:pPr>
        <w:widowControl w:val="0"/>
        <w:numPr>
          <w:ilvl w:val="1"/>
          <w:numId w:val="13"/>
        </w:numPr>
        <w:overflowPunct/>
        <w:autoSpaceDE/>
        <w:autoSpaceDN/>
        <w:adjustRightInd/>
        <w:textAlignment w:val="auto"/>
        <w:rPr>
          <w:b/>
          <w:bCs/>
          <w:noProof/>
          <w:u w:val="single"/>
          <w:rtl/>
        </w:rPr>
      </w:pPr>
      <w:r>
        <w:rPr>
          <w:b/>
          <w:bCs/>
          <w:noProof/>
          <w:u w:val="single"/>
          <w:rtl/>
        </w:rPr>
        <w:t>הצמדה</w:t>
      </w:r>
    </w:p>
    <w:p>
      <w:pPr>
        <w:widowControl w:val="0"/>
        <w:overflowPunct/>
        <w:autoSpaceDE/>
        <w:autoSpaceDN/>
        <w:adjustRightInd/>
        <w:ind w:left="1418"/>
        <w:textAlignment w:val="auto"/>
        <w:rPr>
          <w:noProof/>
          <w:rtl/>
        </w:rPr>
      </w:pPr>
      <w:r>
        <w:rPr>
          <w:noProof/>
          <w:rtl/>
        </w:rPr>
        <w:t xml:space="preserve">תנאי ההצמדה ואופן ביצוע ההצמדה יהיו כמפורט בסעיפים </w:t>
      </w:r>
      <w:r>
        <w:rPr>
          <w:b/>
          <w:bCs/>
          <w:noProof/>
          <w:rtl/>
        </w:rPr>
        <w:t>1</w:t>
      </w:r>
      <w:r>
        <w:rPr>
          <w:rFonts w:hint="cs"/>
          <w:b/>
          <w:bCs/>
          <w:noProof/>
          <w:rtl/>
        </w:rPr>
        <w:t xml:space="preserve">4.8 </w:t>
      </w:r>
      <w:r>
        <w:rPr>
          <w:b/>
          <w:bCs/>
          <w:noProof/>
          <w:rtl/>
        </w:rPr>
        <w:t>-1</w:t>
      </w:r>
      <w:r>
        <w:rPr>
          <w:rFonts w:hint="cs"/>
          <w:b/>
          <w:bCs/>
          <w:noProof/>
          <w:rtl/>
        </w:rPr>
        <w:t>4</w:t>
      </w:r>
      <w:r>
        <w:rPr>
          <w:b/>
          <w:bCs/>
          <w:noProof/>
          <w:rtl/>
        </w:rPr>
        <w:t xml:space="preserve">.11 </w:t>
      </w:r>
      <w:r>
        <w:rPr>
          <w:noProof/>
          <w:rtl/>
        </w:rPr>
        <w:t>למכרז.</w:t>
      </w:r>
    </w:p>
    <w:p>
      <w:pPr>
        <w:widowControl w:val="0"/>
        <w:overflowPunct/>
        <w:autoSpaceDE/>
        <w:autoSpaceDN/>
        <w:adjustRightInd/>
        <w:ind w:left="1418"/>
        <w:textAlignment w:val="auto"/>
        <w:rPr>
          <w:b/>
          <w:bCs/>
          <w:noProof/>
          <w:u w:val="single"/>
        </w:rPr>
      </w:pPr>
    </w:p>
    <w:p>
      <w:pPr>
        <w:widowControl w:val="0"/>
        <w:numPr>
          <w:ilvl w:val="1"/>
          <w:numId w:val="13"/>
        </w:numPr>
        <w:overflowPunct/>
        <w:autoSpaceDE/>
        <w:autoSpaceDN/>
        <w:adjustRightInd/>
        <w:textAlignment w:val="auto"/>
        <w:rPr>
          <w:b/>
          <w:bCs/>
          <w:noProof/>
          <w:u w:val="single"/>
          <w:rtl/>
        </w:rPr>
      </w:pPr>
      <w:r>
        <w:rPr>
          <w:b/>
          <w:bCs/>
          <w:noProof/>
          <w:u w:val="single"/>
          <w:rtl/>
        </w:rPr>
        <w:t>מע"מ</w:t>
      </w:r>
    </w:p>
    <w:p>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3"/>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Pr>
          <w:rFonts w:hint="cs"/>
          <w:noProof/>
          <w:rtl/>
        </w:rPr>
        <w:t xml:space="preserve"> </w:t>
      </w:r>
      <w:r>
        <w:rPr>
          <w:noProof/>
          <w:rtl/>
        </w:rPr>
        <w:t>למעט תוספות בגין ביצוע הצמדה בהתאם לאמור בסעיף 4.</w:t>
      </w:r>
      <w:r>
        <w:rPr>
          <w:rFonts w:hint="cs"/>
          <w:noProof/>
          <w:rtl/>
        </w:rPr>
        <w:t>6</w:t>
      </w:r>
      <w:r>
        <w:rPr>
          <w:noProof/>
          <w:rtl/>
        </w:rPr>
        <w:t>  לעיל.</w:t>
      </w:r>
    </w:p>
    <w:p>
      <w:pPr>
        <w:widowControl w:val="0"/>
        <w:tabs>
          <w:tab w:val="left" w:pos="-2042"/>
        </w:tabs>
        <w:overflowPunct/>
        <w:autoSpaceDE/>
        <w:autoSpaceDN/>
        <w:adjustRightInd/>
        <w:spacing w:line="240" w:lineRule="auto"/>
        <w:ind w:left="1417"/>
        <w:textAlignment w:val="auto"/>
        <w:rPr>
          <w:noProof/>
          <w:rtl/>
        </w:rPr>
      </w:pPr>
    </w:p>
    <w:p>
      <w:pPr>
        <w:widowControl w:val="0"/>
        <w:tabs>
          <w:tab w:val="left" w:pos="-2042"/>
        </w:tabs>
        <w:overflowPunct/>
        <w:autoSpaceDE/>
        <w:autoSpaceDN/>
        <w:adjustRightInd/>
        <w:spacing w:line="300" w:lineRule="atLeast"/>
        <w:ind w:left="1076" w:hanging="431"/>
        <w:textAlignment w:val="auto"/>
        <w:rPr>
          <w:noProof/>
          <w:rtl/>
        </w:rPr>
      </w:pPr>
    </w:p>
    <w:p>
      <w:pPr>
        <w:widowControl w:val="0"/>
        <w:numPr>
          <w:ilvl w:val="1"/>
          <w:numId w:val="13"/>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3"/>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pPr>
        <w:widowControl w:val="0"/>
        <w:spacing w:line="240" w:lineRule="auto"/>
        <w:ind w:left="-33"/>
        <w:jc w:val="right"/>
        <w:rPr>
          <w:rtl/>
        </w:rPr>
      </w:pPr>
      <w:r>
        <w:rPr>
          <w:rFonts w:hint="cs"/>
          <w:rtl/>
        </w:rPr>
        <w:lastRenderedPageBreak/>
        <w:t>נספח מספר 2</w:t>
      </w:r>
    </w:p>
    <w:p>
      <w:pPr>
        <w:widowControl w:val="0"/>
        <w:spacing w:line="240" w:lineRule="auto"/>
        <w:ind w:left="-33"/>
        <w:jc w:val="right"/>
        <w:rPr>
          <w:b/>
          <w:bCs/>
          <w:rtl/>
          <w:lang w:eastAsia="en-US"/>
        </w:rPr>
      </w:pPr>
      <w:r>
        <w:rPr>
          <w:rFonts w:hint="cs"/>
          <w:rtl/>
        </w:rPr>
        <w:t xml:space="preserve">דף </w:t>
      </w:r>
      <w:r>
        <w:rPr>
          <w:rStyle w:val="ad"/>
        </w:rPr>
        <w:t>4</w:t>
      </w:r>
      <w:r>
        <w:rPr>
          <w:rFonts w:hint="cs"/>
          <w:rtl/>
        </w:rPr>
        <w:t xml:space="preserve"> מתוך 13</w:t>
      </w:r>
    </w:p>
    <w:p>
      <w:pPr>
        <w:widowControl w:val="0"/>
        <w:overflowPunct/>
        <w:autoSpaceDE/>
        <w:autoSpaceDN/>
        <w:adjustRightInd/>
        <w:spacing w:line="240" w:lineRule="auto"/>
        <w:textAlignment w:val="auto"/>
        <w:rPr>
          <w:b/>
          <w:bCs/>
          <w:noProof/>
          <w:u w:val="single"/>
          <w:rtl/>
        </w:rPr>
      </w:pPr>
    </w:p>
    <w:p>
      <w:pPr>
        <w:widowControl w:val="0"/>
        <w:numPr>
          <w:ilvl w:val="1"/>
          <w:numId w:val="13"/>
        </w:numPr>
        <w:overflowPunct/>
        <w:autoSpaceDE/>
        <w:autoSpaceDN/>
        <w:adjustRightInd/>
        <w:textAlignment w:val="auto"/>
        <w:rPr>
          <w:b/>
          <w:bCs/>
          <w:noProof/>
          <w:u w:val="single"/>
          <w:rtl/>
        </w:rPr>
      </w:pPr>
      <w:r>
        <w:rPr>
          <w:b/>
          <w:bCs/>
          <w:noProof/>
          <w:u w:val="single"/>
          <w:rtl/>
        </w:rPr>
        <w:t>כללי</w:t>
      </w:r>
    </w:p>
    <w:p>
      <w:pPr>
        <w:widowControl w:val="0"/>
        <w:numPr>
          <w:ilvl w:val="2"/>
          <w:numId w:val="13"/>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numPr>
          <w:ilvl w:val="2"/>
          <w:numId w:val="13"/>
        </w:numPr>
        <w:overflowPunct/>
        <w:autoSpaceDE/>
        <w:autoSpaceDN/>
        <w:adjustRightInd/>
        <w:spacing w:line="300" w:lineRule="atLeast"/>
        <w:textAlignment w:val="auto"/>
        <w:rPr>
          <w:noProof/>
        </w:rPr>
      </w:pPr>
      <w:r>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Pr>
          <w:rFonts w:hint="cs"/>
          <w:noProof/>
          <w:rtl/>
        </w:rPr>
        <w:t>.</w:t>
      </w:r>
    </w:p>
    <w:p>
      <w:pPr>
        <w:widowControl w:val="0"/>
        <w:overflowPunct/>
        <w:autoSpaceDE/>
        <w:autoSpaceDN/>
        <w:adjustRightInd/>
        <w:spacing w:line="300" w:lineRule="atLeast"/>
        <w:ind w:left="2268"/>
        <w:textAlignment w:val="auto"/>
        <w:rPr>
          <w:noProof/>
        </w:rPr>
      </w:pPr>
    </w:p>
    <w:p>
      <w:pPr>
        <w:widowControl w:val="0"/>
        <w:numPr>
          <w:ilvl w:val="1"/>
          <w:numId w:val="13"/>
        </w:numPr>
        <w:overflowPunct/>
        <w:autoSpaceDE/>
        <w:autoSpaceDN/>
        <w:adjustRightInd/>
        <w:textAlignment w:val="auto"/>
        <w:rPr>
          <w:b/>
          <w:bCs/>
          <w:u w:val="single"/>
          <w:rtl/>
          <w:lang w:eastAsia="en-US"/>
        </w:rPr>
      </w:pPr>
      <w:r>
        <w:rPr>
          <w:rFonts w:hint="cs"/>
          <w:rtl/>
        </w:rPr>
        <w:t xml:space="preserve"> </w:t>
      </w:r>
      <w:r>
        <w:rPr>
          <w:b/>
          <w:bCs/>
          <w:noProof/>
          <w:u w:val="single"/>
          <w:rtl/>
        </w:rPr>
        <w:t>התחייבויות</w:t>
      </w:r>
      <w:r>
        <w:rPr>
          <w:b/>
          <w:bCs/>
          <w:u w:val="single"/>
          <w:rtl/>
          <w:lang w:eastAsia="en-US"/>
        </w:rPr>
        <w:t xml:space="preserve"> צד ב'</w:t>
      </w:r>
    </w:p>
    <w:p>
      <w:pPr>
        <w:widowControl w:val="0"/>
        <w:overflowPunct/>
        <w:autoSpaceDE/>
        <w:autoSpaceDN/>
        <w:adjustRightInd/>
        <w:spacing w:after="160" w:line="300" w:lineRule="atLeast"/>
        <w:ind w:left="1418"/>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13"/>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pPr>
        <w:widowControl w:val="0"/>
        <w:numPr>
          <w:ilvl w:val="2"/>
          <w:numId w:val="13"/>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13"/>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13"/>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13"/>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pPr>
        <w:widowControl w:val="0"/>
        <w:tabs>
          <w:tab w:val="left" w:pos="-2042"/>
          <w:tab w:val="left" w:pos="1842"/>
        </w:tabs>
        <w:overflowPunct/>
        <w:autoSpaceDE/>
        <w:autoSpaceDN/>
        <w:adjustRightInd/>
        <w:spacing w:line="300" w:lineRule="atLeast"/>
        <w:ind w:left="1842" w:hanging="567"/>
        <w:textAlignment w:val="auto"/>
        <w:rPr>
          <w:noProof/>
        </w:rPr>
      </w:pPr>
    </w:p>
    <w:p>
      <w:pPr>
        <w:widowControl w:val="0"/>
        <w:numPr>
          <w:ilvl w:val="1"/>
          <w:numId w:val="13"/>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widowControl w:val="0"/>
        <w:overflowPunct/>
        <w:autoSpaceDE/>
        <w:autoSpaceDN/>
        <w:adjustRightInd/>
        <w:spacing w:line="300" w:lineRule="atLeast"/>
        <w:ind w:left="1418"/>
        <w:textAlignment w:val="auto"/>
        <w:rPr>
          <w:noProof/>
        </w:rPr>
      </w:pPr>
    </w:p>
    <w:p>
      <w:pPr>
        <w:widowControl w:val="0"/>
        <w:numPr>
          <w:ilvl w:val="1"/>
          <w:numId w:val="13"/>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pPr>
        <w:widowControl w:val="0"/>
        <w:tabs>
          <w:tab w:val="left" w:pos="-2042"/>
        </w:tabs>
        <w:overflowPunct/>
        <w:autoSpaceDE/>
        <w:autoSpaceDN/>
        <w:adjustRightInd/>
        <w:spacing w:line="300" w:lineRule="atLeast"/>
        <w:textAlignment w:val="auto"/>
        <w:rPr>
          <w:noProof/>
          <w:rtl/>
        </w:rPr>
      </w:pPr>
    </w:p>
    <w:p>
      <w:pPr>
        <w:widowControl w:val="0"/>
        <w:numPr>
          <w:ilvl w:val="0"/>
          <w:numId w:val="13"/>
        </w:numPr>
        <w:spacing w:after="160" w:line="300" w:lineRule="atLeast"/>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13"/>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13"/>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pPr>
        <w:widowControl w:val="0"/>
        <w:numPr>
          <w:ilvl w:val="1"/>
          <w:numId w:val="13"/>
        </w:numPr>
        <w:overflowPunct/>
        <w:autoSpaceDE/>
        <w:autoSpaceDN/>
        <w:adjustRightInd/>
        <w:spacing w:after="160" w:line="300" w:lineRule="atLeast"/>
        <w:textAlignment w:val="auto"/>
        <w:rPr>
          <w:noProof/>
          <w:rtl/>
        </w:rPr>
      </w:pPr>
      <w:r>
        <w:rPr>
          <w:noProof/>
          <w:rtl/>
        </w:rPr>
        <w:lastRenderedPageBreak/>
        <w:t>לקיים פגישות בין נציגי צד ב' לממונה כנדרש לצורך ביצוע השירותים תוך 14 ימים מעת שנתקבלה בקשת צד ב' לקביעת פגישה כאמור.</w:t>
      </w:r>
    </w:p>
    <w:p>
      <w:pPr>
        <w:widowControl w:val="0"/>
        <w:numPr>
          <w:ilvl w:val="1"/>
          <w:numId w:val="13"/>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pPr>
        <w:widowControl w:val="0"/>
        <w:spacing w:after="100" w:line="300" w:lineRule="atLeast"/>
        <w:textAlignment w:val="auto"/>
        <w:rPr>
          <w:b/>
          <w:bCs/>
          <w:u w:val="single"/>
          <w:lang w:eastAsia="en-US"/>
        </w:rPr>
      </w:pPr>
    </w:p>
    <w:p>
      <w:pPr>
        <w:widowControl w:val="0"/>
        <w:numPr>
          <w:ilvl w:val="0"/>
          <w:numId w:val="13"/>
        </w:numPr>
        <w:spacing w:after="100" w:line="300" w:lineRule="atLeast"/>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spacing w:line="240" w:lineRule="auto"/>
        <w:ind w:left="-33"/>
        <w:jc w:val="right"/>
        <w:rPr>
          <w:rtl/>
        </w:rPr>
      </w:pPr>
      <w:r>
        <w:rPr>
          <w:noProof/>
          <w:rtl/>
        </w:rPr>
        <w:br w:type="page"/>
      </w:r>
      <w:r>
        <w:rPr>
          <w:rFonts w:hint="cs"/>
          <w:rtl/>
        </w:rPr>
        <w:lastRenderedPageBreak/>
        <w:t xml:space="preserve"> נספח מספר 2</w:t>
      </w:r>
    </w:p>
    <w:p>
      <w:pPr>
        <w:widowControl w:val="0"/>
        <w:spacing w:line="240" w:lineRule="auto"/>
        <w:ind w:left="-33"/>
        <w:jc w:val="right"/>
        <w:rPr>
          <w:b/>
          <w:bCs/>
          <w:rtl/>
          <w:lang w:eastAsia="en-US"/>
        </w:rPr>
      </w:pPr>
      <w:r>
        <w:rPr>
          <w:rFonts w:hint="cs"/>
          <w:rtl/>
        </w:rPr>
        <w:t xml:space="preserve">דף </w:t>
      </w:r>
      <w:r>
        <w:rPr>
          <w:rStyle w:val="ad"/>
        </w:rPr>
        <w:t>5</w:t>
      </w:r>
      <w:r>
        <w:rPr>
          <w:rFonts w:hint="cs"/>
          <w:rtl/>
        </w:rPr>
        <w:t xml:space="preserve"> מתוך 13</w:t>
      </w:r>
    </w:p>
    <w:p>
      <w:pPr>
        <w:widowControl w:val="0"/>
        <w:numPr>
          <w:ilvl w:val="0"/>
          <w:numId w:val="13"/>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13"/>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13"/>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tabs>
          <w:tab w:val="left" w:pos="-2042"/>
        </w:tabs>
        <w:overflowPunct/>
        <w:autoSpaceDE/>
        <w:autoSpaceDN/>
        <w:adjustRightInd/>
        <w:spacing w:line="300" w:lineRule="atLeast"/>
        <w:ind w:left="849" w:right="1209"/>
        <w:textAlignment w:val="auto"/>
        <w:rPr>
          <w:noProof/>
          <w:rtl/>
        </w:rPr>
      </w:pPr>
    </w:p>
    <w:p>
      <w:pPr>
        <w:widowControl w:val="0"/>
        <w:numPr>
          <w:ilvl w:val="0"/>
          <w:numId w:val="13"/>
        </w:numPr>
        <w:spacing w:after="100" w:line="300" w:lineRule="atLeast"/>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tabs>
          <w:tab w:val="left" w:pos="-2042"/>
        </w:tabs>
        <w:overflowPunct/>
        <w:autoSpaceDE/>
        <w:autoSpaceDN/>
        <w:adjustRightInd/>
        <w:spacing w:line="300" w:lineRule="atLeast"/>
        <w:ind w:left="708"/>
        <w:textAlignment w:val="auto"/>
        <w:rPr>
          <w:noProof/>
          <w:rtl/>
        </w:rPr>
      </w:pPr>
    </w:p>
    <w:p>
      <w:pPr>
        <w:widowControl w:val="0"/>
        <w:numPr>
          <w:ilvl w:val="0"/>
          <w:numId w:val="13"/>
        </w:numPr>
        <w:spacing w:after="100" w:line="300" w:lineRule="atLeast"/>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overflowPunct/>
        <w:autoSpaceDE/>
        <w:autoSpaceDN/>
        <w:adjustRightInd/>
        <w:spacing w:after="100" w:line="300" w:lineRule="atLeast"/>
        <w:ind w:left="652" w:hanging="652"/>
        <w:textAlignment w:val="auto"/>
        <w:rPr>
          <w:noProof/>
          <w:rtl/>
        </w:rPr>
      </w:pPr>
    </w:p>
    <w:p>
      <w:pPr>
        <w:widowControl w:val="0"/>
        <w:numPr>
          <w:ilvl w:val="0"/>
          <w:numId w:val="13"/>
        </w:numPr>
        <w:spacing w:after="100" w:line="300" w:lineRule="atLeast"/>
        <w:textAlignment w:val="auto"/>
        <w:rPr>
          <w:b/>
          <w:bCs/>
          <w:u w:val="single"/>
          <w:rtl/>
          <w:lang w:eastAsia="en-US"/>
        </w:rPr>
      </w:pPr>
      <w:r>
        <w:rPr>
          <w:b/>
          <w:bCs/>
          <w:u w:val="single"/>
          <w:rtl/>
          <w:lang w:eastAsia="en-US"/>
        </w:rPr>
        <w:t>יחסי הצדדים</w:t>
      </w:r>
    </w:p>
    <w:p>
      <w:pPr>
        <w:widowControl w:val="0"/>
        <w:numPr>
          <w:ilvl w:val="1"/>
          <w:numId w:val="13"/>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13"/>
        </w:numPr>
        <w:overflowPunct/>
        <w:autoSpaceDE/>
        <w:autoSpaceDN/>
        <w:adjustRightInd/>
        <w:spacing w:after="200" w:line="300" w:lineRule="atLeast"/>
        <w:textAlignment w:val="auto"/>
        <w:rPr>
          <w:noProof/>
          <w:rtl/>
        </w:rPr>
      </w:pPr>
      <w:r>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המדינה.</w:t>
      </w:r>
    </w:p>
    <w:p>
      <w:pPr>
        <w:widowControl w:val="0"/>
        <w:numPr>
          <w:ilvl w:val="1"/>
          <w:numId w:val="13"/>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pPr>
        <w:widowControl w:val="0"/>
        <w:numPr>
          <w:ilvl w:val="1"/>
          <w:numId w:val="13"/>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numPr>
          <w:ilvl w:val="1"/>
          <w:numId w:val="13"/>
        </w:numPr>
        <w:overflowPunct/>
        <w:autoSpaceDE/>
        <w:autoSpaceDN/>
        <w:adjustRightInd/>
        <w:spacing w:line="300" w:lineRule="atLeast"/>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spacing w:line="240" w:lineRule="auto"/>
        <w:ind w:left="-33"/>
        <w:jc w:val="right"/>
        <w:rPr>
          <w:rtl/>
        </w:rPr>
      </w:pPr>
      <w:r>
        <w:rPr>
          <w:rtl/>
        </w:rPr>
        <w:br w:type="page"/>
      </w:r>
      <w:r>
        <w:rPr>
          <w:rFonts w:hint="cs"/>
          <w:rtl/>
        </w:rPr>
        <w:lastRenderedPageBreak/>
        <w:t xml:space="preserve"> נספח מספר 2</w:t>
      </w:r>
    </w:p>
    <w:p>
      <w:pPr>
        <w:widowControl w:val="0"/>
        <w:spacing w:line="240" w:lineRule="auto"/>
        <w:ind w:left="-33"/>
        <w:jc w:val="right"/>
        <w:rPr>
          <w:rtl/>
        </w:rPr>
      </w:pPr>
      <w:r>
        <w:rPr>
          <w:rFonts w:hint="cs"/>
          <w:rtl/>
        </w:rPr>
        <w:t xml:space="preserve">דף </w:t>
      </w:r>
      <w:r>
        <w:rPr>
          <w:rStyle w:val="ad"/>
          <w:rFonts w:hint="cs"/>
          <w:rtl/>
        </w:rPr>
        <w:t>6</w:t>
      </w:r>
      <w:r>
        <w:rPr>
          <w:rFonts w:hint="cs"/>
          <w:rtl/>
        </w:rPr>
        <w:t xml:space="preserve"> מתוך 13</w:t>
      </w:r>
    </w:p>
    <w:p>
      <w:pPr>
        <w:widowControl w:val="0"/>
        <w:numPr>
          <w:ilvl w:val="0"/>
          <w:numId w:val="13"/>
        </w:numPr>
        <w:spacing w:after="100" w:line="300" w:lineRule="atLeast"/>
        <w:textAlignment w:val="auto"/>
        <w:rPr>
          <w:b/>
          <w:bCs/>
          <w:u w:val="single"/>
          <w:rtl/>
          <w:lang w:eastAsia="en-US"/>
        </w:rPr>
      </w:pPr>
      <w:r>
        <w:rPr>
          <w:rFonts w:hint="cs"/>
          <w:b/>
          <w:bCs/>
          <w:u w:val="single"/>
          <w:rtl/>
          <w:lang w:eastAsia="en-US"/>
        </w:rPr>
        <w:t>אחריות משפטית</w:t>
      </w:r>
    </w:p>
    <w:p>
      <w:pPr>
        <w:widowControl w:val="0"/>
        <w:numPr>
          <w:ilvl w:val="1"/>
          <w:numId w:val="13"/>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13"/>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13"/>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numPr>
          <w:ilvl w:val="1"/>
          <w:numId w:val="13"/>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13"/>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numPr>
          <w:ilvl w:val="2"/>
          <w:numId w:val="13"/>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13"/>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13"/>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13"/>
        </w:numPr>
        <w:overflowPunct/>
        <w:autoSpaceDE/>
        <w:autoSpaceDN/>
        <w:adjustRightInd/>
        <w:spacing w:after="160" w:line="300" w:lineRule="atLeast"/>
        <w:textAlignment w:val="auto"/>
        <w:rPr>
          <w:lang w:eastAsia="en-US"/>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pPr>
        <w:widowControl w:val="0"/>
        <w:numPr>
          <w:ilvl w:val="1"/>
          <w:numId w:val="13"/>
        </w:numPr>
        <w:overflowPunct/>
        <w:autoSpaceDE/>
        <w:autoSpaceDN/>
        <w:adjustRightInd/>
        <w:spacing w:after="160" w:line="300" w:lineRule="atLeast"/>
        <w:textAlignment w:val="auto"/>
        <w:rPr>
          <w:rtl/>
          <w:lang w:eastAsia="en-US"/>
        </w:rPr>
      </w:pP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pPr>
        <w:widowControl w:val="0"/>
        <w:overflowPunct/>
        <w:autoSpaceDE/>
        <w:autoSpaceDN/>
        <w:adjustRightInd/>
        <w:spacing w:after="160" w:line="300" w:lineRule="atLeast"/>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widowControl w:val="0"/>
        <w:overflowPunct/>
        <w:autoSpaceDE/>
        <w:autoSpaceDN/>
        <w:adjustRightInd/>
        <w:spacing w:after="160" w:line="300" w:lineRule="atLeast"/>
        <w:ind w:left="1418"/>
        <w:textAlignment w:val="auto"/>
        <w:rPr>
          <w:rtl/>
          <w:lang w:eastAsia="en-US"/>
        </w:rPr>
      </w:pPr>
    </w:p>
    <w:p>
      <w:pPr>
        <w:widowControl w:val="0"/>
        <w:spacing w:line="240" w:lineRule="auto"/>
        <w:ind w:left="-33"/>
        <w:jc w:val="right"/>
        <w:rPr>
          <w:rtl/>
        </w:rPr>
      </w:pPr>
      <w:r>
        <w:rPr>
          <w:rtl/>
        </w:rPr>
        <w:br w:type="page"/>
      </w:r>
      <w:r>
        <w:rPr>
          <w:rFonts w:hint="cs"/>
          <w:rtl/>
        </w:rPr>
        <w:lastRenderedPageBreak/>
        <w:t xml:space="preserve"> נספח מספר 2</w:t>
      </w:r>
    </w:p>
    <w:p>
      <w:pPr>
        <w:widowControl w:val="0"/>
        <w:spacing w:line="240" w:lineRule="auto"/>
        <w:ind w:left="-33"/>
        <w:jc w:val="right"/>
        <w:rPr>
          <w:rtl/>
          <w:lang w:eastAsia="en-US"/>
        </w:rPr>
      </w:pPr>
      <w:r>
        <w:rPr>
          <w:rFonts w:hint="cs"/>
          <w:rtl/>
        </w:rPr>
        <w:t xml:space="preserve">דף </w:t>
      </w:r>
      <w:r>
        <w:rPr>
          <w:rStyle w:val="ad"/>
        </w:rPr>
        <w:t>7</w:t>
      </w:r>
      <w:r>
        <w:rPr>
          <w:rFonts w:hint="cs"/>
          <w:rtl/>
        </w:rPr>
        <w:t xml:space="preserve"> מתוך 13</w:t>
      </w:r>
    </w:p>
    <w:p>
      <w:pPr>
        <w:widowControl w:val="0"/>
        <w:numPr>
          <w:ilvl w:val="0"/>
          <w:numId w:val="13"/>
        </w:numPr>
        <w:spacing w:after="100" w:line="300" w:lineRule="atLeast"/>
        <w:textAlignment w:val="auto"/>
        <w:rPr>
          <w:b/>
          <w:bCs/>
          <w:u w:val="single"/>
          <w:lang w:eastAsia="en-US"/>
        </w:rPr>
      </w:pPr>
      <w:r>
        <w:rPr>
          <w:rFonts w:hint="cs"/>
          <w:b/>
          <w:bCs/>
          <w:u w:val="single"/>
          <w:rtl/>
          <w:lang w:eastAsia="en-US"/>
        </w:rPr>
        <w:t>ביטוח</w:t>
      </w:r>
    </w:p>
    <w:p>
      <w:pPr>
        <w:widowControl w:val="0"/>
        <w:spacing w:line="300" w:lineRule="atLeast"/>
        <w:ind w:left="709"/>
        <w:rPr>
          <w:b/>
          <w:bCs/>
          <w:sz w:val="28"/>
          <w:szCs w:val="28"/>
          <w:u w:val="single"/>
          <w:rtl/>
        </w:rPr>
      </w:pPr>
    </w:p>
    <w:p>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צד ב' מתחייב לבצע ולקיים את הביטוחים המפורטים בזה לטובת</w:t>
      </w:r>
      <w:r>
        <w:rPr>
          <w:rFonts w:ascii="David" w:hAnsi="David" w:hint="cs"/>
          <w:rtl/>
        </w:rPr>
        <w:t>ו</w:t>
      </w:r>
      <w:r>
        <w:rPr>
          <w:rFonts w:ascii="David" w:hAnsi="David"/>
          <w:rtl/>
        </w:rPr>
        <w:t xml:space="preserve"> ולטובת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Pr>
          <w:rFonts w:ascii="David" w:hAnsi="David"/>
          <w:rtl/>
        </w:rPr>
        <w:t>כשהם כוללים את כל הכיסויים והתנאים הנדרשים להלן וכאשר גבולות האחריות לא יפחתו מהמצוין להלן:</w:t>
      </w:r>
    </w:p>
    <w:p>
      <w:pPr>
        <w:overflowPunct/>
        <w:autoSpaceDE/>
        <w:autoSpaceDN/>
        <w:adjustRightInd/>
        <w:spacing w:line="276" w:lineRule="auto"/>
        <w:ind w:left="226"/>
        <w:textAlignment w:val="auto"/>
        <w:rPr>
          <w:rFonts w:ascii="David" w:hAnsi="David"/>
          <w:rtl/>
        </w:rPr>
      </w:pPr>
    </w:p>
    <w:p>
      <w:pPr>
        <w:pStyle w:val="aff2"/>
        <w:numPr>
          <w:ilvl w:val="1"/>
          <w:numId w:val="13"/>
        </w:numPr>
        <w:overflowPunct/>
        <w:autoSpaceDE/>
        <w:autoSpaceDN/>
        <w:adjustRightInd/>
        <w:spacing w:line="276" w:lineRule="auto"/>
        <w:textAlignment w:val="auto"/>
        <w:rPr>
          <w:rFonts w:ascii="David" w:hAnsi="David"/>
          <w:rtl/>
        </w:rPr>
      </w:pPr>
      <w:r>
        <w:rPr>
          <w:rFonts w:ascii="David" w:hAnsi="David"/>
          <w:b/>
          <w:bCs/>
          <w:u w:val="single"/>
          <w:rtl/>
          <w:lang w:eastAsia="en-US"/>
        </w:rPr>
        <w:t>ביטוח חבות מעבידים</w:t>
      </w:r>
    </w:p>
    <w:p>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r>
        <w:rPr>
          <w:rFonts w:ascii="David" w:hAnsi="David" w:hint="cs"/>
          <w:rtl/>
          <w:lang w:eastAsia="en-US"/>
        </w:rPr>
        <w:t xml:space="preserve"> </w:t>
      </w:r>
    </w:p>
    <w:p>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גבול האחריות לא יפחת מסך</w:t>
      </w:r>
      <w:r>
        <w:rPr>
          <w:rFonts w:ascii="David" w:hAnsi="David" w:hint="cs"/>
          <w:rtl/>
          <w:lang w:eastAsia="en-US"/>
        </w:rPr>
        <w:t xml:space="preserve"> </w:t>
      </w:r>
      <w:r>
        <w:rPr>
          <w:rFonts w:ascii="David" w:hAnsi="David"/>
          <w:rtl/>
          <w:lang w:eastAsia="en-US"/>
        </w:rPr>
        <w:t xml:space="preserve">- 20,000,000 ₪ לעובד, למקרה ולתקופת הביטוח.  </w:t>
      </w:r>
    </w:p>
    <w:p>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לכסות חבות המבוטח כלפי קבלנים, קבלני משנה ועובדיהם היה ויחשב כמעבידם.</w:t>
      </w:r>
    </w:p>
    <w:p>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לשפות את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היה ונטען לעניין קרות תאונת עבודה/מחלת מקצוע כלשהי כי הם נושאים בחבות מעביד כלשהם</w:t>
      </w:r>
      <w:r>
        <w:rPr>
          <w:rFonts w:ascii="David" w:hAnsi="David"/>
          <w:b/>
          <w:bCs/>
          <w:rtl/>
          <w:lang w:eastAsia="en-US"/>
        </w:rPr>
        <w:t xml:space="preserve"> </w:t>
      </w:r>
      <w:r>
        <w:rPr>
          <w:rFonts w:ascii="David" w:hAnsi="David"/>
          <w:rtl/>
          <w:lang w:eastAsia="en-US"/>
        </w:rPr>
        <w:t>כלפי מי מעובדי צד ב' קבלנים, קבלני משנה ועובדיהם שבשירותה.</w:t>
      </w:r>
    </w:p>
    <w:p>
      <w:pPr>
        <w:overflowPunct/>
        <w:autoSpaceDE/>
        <w:autoSpaceDN/>
        <w:adjustRightInd/>
        <w:spacing w:line="276" w:lineRule="auto"/>
        <w:ind w:left="1274"/>
        <w:contextualSpacing/>
        <w:textAlignment w:val="auto"/>
        <w:rPr>
          <w:rFonts w:ascii="David" w:hAnsi="David"/>
          <w:rtl/>
          <w:lang w:eastAsia="en-US"/>
        </w:rPr>
      </w:pPr>
    </w:p>
    <w:p>
      <w:pPr>
        <w:pStyle w:val="aff2"/>
        <w:numPr>
          <w:ilvl w:val="1"/>
          <w:numId w:val="13"/>
        </w:numPr>
        <w:overflowPunct/>
        <w:autoSpaceDE/>
        <w:autoSpaceDN/>
        <w:adjustRightInd/>
        <w:spacing w:line="276" w:lineRule="auto"/>
        <w:textAlignment w:val="auto"/>
        <w:rPr>
          <w:rFonts w:ascii="David" w:hAnsi="David"/>
          <w:b/>
          <w:bCs/>
          <w:rtl/>
          <w:lang w:eastAsia="en-US"/>
        </w:rPr>
      </w:pPr>
      <w:r>
        <w:rPr>
          <w:rFonts w:ascii="David" w:hAnsi="David"/>
          <w:b/>
          <w:bCs/>
          <w:u w:val="single"/>
          <w:rtl/>
          <w:lang w:eastAsia="en-US"/>
        </w:rPr>
        <w:t>ביטוח אחריות כלפי צד שלישי</w:t>
      </w:r>
    </w:p>
    <w:p>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צד ב' יבטח אחריותו החוקית על פי דיני מדינת ישראל בביטוח אחריות כלפי צד שלישי גוף ורכוש (כולל נזקי גרר), בגין פעילות</w:t>
      </w:r>
      <w:r>
        <w:rPr>
          <w:rFonts w:ascii="David" w:hAnsi="David" w:hint="cs"/>
          <w:rtl/>
          <w:lang w:eastAsia="en-US"/>
        </w:rPr>
        <w:t>ו</w:t>
      </w:r>
      <w:r>
        <w:rPr>
          <w:rFonts w:ascii="David" w:hAnsi="David"/>
          <w:rtl/>
          <w:lang w:eastAsia="en-US"/>
        </w:rPr>
        <w:t xml:space="preserve"> בכל תחומי מדינת ישראל והשטחים המוחזקים.</w:t>
      </w:r>
    </w:p>
    <w:p>
      <w:pPr>
        <w:numPr>
          <w:ilvl w:val="0"/>
          <w:numId w:val="35"/>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גבול האחריות לא יפחת מסך</w:t>
      </w:r>
      <w:r>
        <w:rPr>
          <w:rFonts w:ascii="David" w:hAnsi="David" w:hint="cs"/>
          <w:rtl/>
          <w:lang w:eastAsia="en-US"/>
        </w:rPr>
        <w:t xml:space="preserve">  10,000,000 </w:t>
      </w:r>
      <w:r>
        <w:rPr>
          <w:rFonts w:ascii="David" w:hAnsi="David"/>
          <w:rtl/>
          <w:lang w:eastAsia="en-US"/>
        </w:rPr>
        <w:t xml:space="preserve">₪ למקרה ולתקופת הביטוח. </w:t>
      </w:r>
    </w:p>
    <w:p>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 xml:space="preserve">בפוליסה ייכלל סעיף אחריות צולבת - </w:t>
      </w:r>
      <w:r>
        <w:rPr>
          <w:rFonts w:ascii="David" w:hAnsi="David"/>
          <w:lang w:eastAsia="en-US"/>
        </w:rPr>
        <w:t>Cross Liability</w:t>
      </w:r>
      <w:r>
        <w:rPr>
          <w:rFonts w:ascii="David" w:hAnsi="David" w:hint="cs"/>
          <w:rtl/>
          <w:lang w:eastAsia="en-US"/>
        </w:rPr>
        <w:t>.</w:t>
      </w:r>
    </w:p>
    <w:p>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לכסות חבות המבוטח כלפי צד שלישי בגין פעילות של קבלנים, קבלני משנה ועובדיהם.</w:t>
      </w:r>
    </w:p>
    <w:p>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רכזים, מרצים ובעלי תפקידים נוספים, אשר אינם נכללים במסגרת חבות מעבידים של צד ב' ייחשבו לצד שלישי. </w:t>
      </w:r>
    </w:p>
    <w:p>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המשתתפים בתוכנית ורכושם ייחשבו לצד שלישי. </w:t>
      </w:r>
    </w:p>
    <w:p>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כל סייג/ חריג המתייחס להרעלה מכל סוג שהוא, חומר זר ו/או מזיק אחר במאכל או במשקה, יבוטל. </w:t>
      </w:r>
    </w:p>
    <w:p>
      <w:pPr>
        <w:numPr>
          <w:ilvl w:val="0"/>
          <w:numId w:val="35"/>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 xml:space="preserve">סייג אחריות מקצועית ביחס לנזקי גוף, יבוטל. </w:t>
      </w:r>
    </w:p>
    <w:p>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לשפות את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ככל שייחשבו אחראים למעשי ו/או מחדלי צד ב' וכל הפועלים מטעמו.</w:t>
      </w:r>
    </w:p>
    <w:p>
      <w:pPr>
        <w:overflowPunct/>
        <w:autoSpaceDE/>
        <w:autoSpaceDN/>
        <w:adjustRightInd/>
        <w:spacing w:after="200" w:line="276" w:lineRule="auto"/>
        <w:ind w:left="1274"/>
        <w:contextualSpacing/>
        <w:textAlignment w:val="auto"/>
        <w:rPr>
          <w:rFonts w:ascii="David" w:hAnsi="David"/>
          <w:highlight w:val="yellow"/>
          <w:rtl/>
          <w:lang w:eastAsia="en-US"/>
        </w:rPr>
      </w:pPr>
    </w:p>
    <w:p>
      <w:pPr>
        <w:pStyle w:val="aff2"/>
        <w:numPr>
          <w:ilvl w:val="1"/>
          <w:numId w:val="13"/>
        </w:numPr>
        <w:overflowPunct/>
        <w:autoSpaceDE/>
        <w:autoSpaceDN/>
        <w:adjustRightInd/>
        <w:spacing w:line="276" w:lineRule="auto"/>
        <w:textAlignment w:val="auto"/>
        <w:rPr>
          <w:b/>
          <w:bCs/>
          <w:rtl/>
          <w:lang w:eastAsia="en-US"/>
        </w:rPr>
      </w:pPr>
      <w:r>
        <w:rPr>
          <w:rFonts w:ascii="David" w:hAnsi="David"/>
          <w:b/>
          <w:bCs/>
          <w:u w:val="single"/>
          <w:rtl/>
          <w:lang w:eastAsia="en-US"/>
        </w:rPr>
        <w:t>ביטוחים</w:t>
      </w:r>
      <w:r>
        <w:rPr>
          <w:b/>
          <w:bCs/>
          <w:rtl/>
          <w:lang w:eastAsia="en-US"/>
        </w:rPr>
        <w:t xml:space="preserve"> נוספים</w:t>
      </w:r>
      <w:r>
        <w:rPr>
          <w:rFonts w:hint="cs"/>
          <w:b/>
          <w:bCs/>
          <w:rtl/>
          <w:lang w:eastAsia="en-US"/>
        </w:rPr>
        <w:t>:</w:t>
      </w:r>
      <w:r>
        <w:rPr>
          <w:b/>
          <w:bCs/>
          <w:rtl/>
          <w:lang w:eastAsia="en-US"/>
        </w:rPr>
        <w:t xml:space="preserve"> </w:t>
      </w:r>
    </w:p>
    <w:p>
      <w:pPr>
        <w:overflowPunct/>
        <w:autoSpaceDE/>
        <w:autoSpaceDN/>
        <w:adjustRightInd/>
        <w:spacing w:after="200" w:line="276" w:lineRule="auto"/>
        <w:ind w:left="1004" w:firstLine="414"/>
        <w:contextualSpacing/>
        <w:textAlignment w:val="auto"/>
        <w:rPr>
          <w:b/>
          <w:bCs/>
          <w:rtl/>
          <w:lang w:eastAsia="en-US"/>
        </w:rPr>
      </w:pPr>
      <w:r>
        <w:rPr>
          <w:b/>
          <w:bCs/>
          <w:rtl/>
          <w:lang w:eastAsia="en-US"/>
        </w:rPr>
        <w:t xml:space="preserve">צד ב' </w:t>
      </w:r>
      <w:r>
        <w:rPr>
          <w:rFonts w:hint="cs"/>
          <w:b/>
          <w:bCs/>
          <w:rtl/>
          <w:lang w:eastAsia="en-US"/>
        </w:rPr>
        <w:t>יוודא וידאג</w:t>
      </w:r>
      <w:r>
        <w:rPr>
          <w:b/>
          <w:bCs/>
          <w:rtl/>
          <w:lang w:eastAsia="en-US"/>
        </w:rPr>
        <w:t xml:space="preserve"> כי</w:t>
      </w:r>
      <w:r>
        <w:rPr>
          <w:rFonts w:hint="cs"/>
          <w:b/>
          <w:bCs/>
          <w:rtl/>
          <w:lang w:eastAsia="en-US"/>
        </w:rPr>
        <w:t xml:space="preserve">: </w:t>
      </w:r>
    </w:p>
    <w:p>
      <w:pPr>
        <w:numPr>
          <w:ilvl w:val="3"/>
          <w:numId w:val="34"/>
        </w:numPr>
        <w:overflowPunct/>
        <w:autoSpaceDE/>
        <w:autoSpaceDN/>
        <w:adjustRightInd/>
        <w:spacing w:after="200" w:line="276" w:lineRule="auto"/>
        <w:ind w:left="1490" w:hanging="709"/>
        <w:contextualSpacing/>
        <w:textAlignment w:val="auto"/>
        <w:rPr>
          <w:rtl/>
          <w:lang w:eastAsia="en-US"/>
        </w:rPr>
      </w:pPr>
      <w:r>
        <w:rPr>
          <w:rFonts w:hint="cs"/>
          <w:b/>
          <w:bCs/>
          <w:rtl/>
          <w:lang w:eastAsia="en-US"/>
        </w:rPr>
        <w:t xml:space="preserve">למפעילי </w:t>
      </w:r>
      <w:r>
        <w:rPr>
          <w:b/>
          <w:bCs/>
          <w:rtl/>
          <w:lang w:eastAsia="en-US"/>
        </w:rPr>
        <w:t xml:space="preserve">מקומות </w:t>
      </w:r>
      <w:r>
        <w:rPr>
          <w:rFonts w:hint="cs"/>
          <w:b/>
          <w:bCs/>
          <w:rtl/>
          <w:lang w:eastAsia="en-US"/>
        </w:rPr>
        <w:t xml:space="preserve">לרבות ימי לימוד, מפגשים, קורסים, סמינרים, </w:t>
      </w:r>
      <w:r>
        <w:rPr>
          <w:b/>
          <w:bCs/>
          <w:rtl/>
          <w:lang w:eastAsia="en-US"/>
        </w:rPr>
        <w:t>כנסים</w:t>
      </w:r>
      <w:r>
        <w:rPr>
          <w:rtl/>
          <w:lang w:eastAsia="en-US"/>
        </w:rPr>
        <w:t xml:space="preserve"> – למפעילי המקומות בהם יתקיימו הפעילויות יהא ביטוח רכוש אש מורחב בערכי כינון למבנים ותכולתם, ביטוח אחריות כלפי צד שלישי בגבולות אחריו</w:t>
      </w:r>
      <w:r>
        <w:rPr>
          <w:rFonts w:hint="cs"/>
          <w:rtl/>
          <w:lang w:eastAsia="en-US"/>
        </w:rPr>
        <w:t>ת הולמים</w:t>
      </w:r>
      <w:r>
        <w:rPr>
          <w:rtl/>
          <w:lang w:eastAsia="en-US"/>
        </w:rPr>
        <w:t xml:space="preserve"> למקרה ולתקופה. ביטוחי החבויות יורחבו לכלול את מדינת ישראל – משרד החינוך, כמבוטחים נוספים בכפוף להרחב שיפוי כמקובל באותו סוג ביטוח. כל הביטוחים (רכוש וחבויות) יכללו סעיף לפיו המבטח מוותר על זכות השיבוב כלי מדינת ישראל – משרד החינוך, כלפי עובדיו וכלפי המשתתפים ב</w:t>
      </w:r>
      <w:r>
        <w:rPr>
          <w:rFonts w:hint="cs"/>
          <w:rtl/>
          <w:lang w:eastAsia="en-US"/>
        </w:rPr>
        <w:t xml:space="preserve">תוכנית </w:t>
      </w:r>
      <w:r>
        <w:rPr>
          <w:rtl/>
          <w:lang w:eastAsia="en-US"/>
        </w:rPr>
        <w:t>(אולם, הוויתור על זכות התחלוף כאמור לא תחול לטובת אדם שגרם לנזק בזדון). כמו כן יכללו הביטוחים סעיף לפיו הביטוחים יהיו קודמים וראשוניים ללא זכות השתתפות ו/או חזרה כלפי המפורטים לעיל.</w:t>
      </w:r>
    </w:p>
    <w:p>
      <w:pPr>
        <w:overflowPunct/>
        <w:autoSpaceDE/>
        <w:autoSpaceDN/>
        <w:adjustRightInd/>
        <w:spacing w:line="276" w:lineRule="auto"/>
        <w:ind w:left="720"/>
        <w:contextualSpacing/>
        <w:textAlignment w:val="auto"/>
        <w:rPr>
          <w:rtl/>
          <w:lang w:eastAsia="en-US"/>
        </w:rPr>
      </w:pPr>
    </w:p>
    <w:p>
      <w:pPr>
        <w:pStyle w:val="aff2"/>
        <w:numPr>
          <w:ilvl w:val="1"/>
          <w:numId w:val="13"/>
        </w:numPr>
        <w:overflowPunct/>
        <w:autoSpaceDE/>
        <w:autoSpaceDN/>
        <w:adjustRightInd/>
        <w:spacing w:line="276" w:lineRule="auto"/>
        <w:textAlignment w:val="auto"/>
        <w:rPr>
          <w:rFonts w:ascii="David" w:hAnsi="David"/>
          <w:rtl/>
          <w:lang w:eastAsia="en-US"/>
        </w:rPr>
      </w:pPr>
      <w:r>
        <w:rPr>
          <w:rFonts w:ascii="David" w:hAnsi="David"/>
          <w:b/>
          <w:bCs/>
          <w:u w:val="single"/>
          <w:rtl/>
          <w:lang w:eastAsia="en-US"/>
        </w:rPr>
        <w:t>כללי</w:t>
      </w:r>
    </w:p>
    <w:p>
      <w:pPr>
        <w:overflowPunct/>
        <w:autoSpaceDE/>
        <w:autoSpaceDN/>
        <w:adjustRightInd/>
        <w:spacing w:line="276" w:lineRule="auto"/>
        <w:ind w:left="226"/>
        <w:textAlignment w:val="auto"/>
        <w:rPr>
          <w:rFonts w:ascii="David" w:hAnsi="David"/>
          <w:rtl/>
          <w:lang w:eastAsia="en-US"/>
        </w:rPr>
      </w:pPr>
    </w:p>
    <w:p>
      <w:pPr>
        <w:overflowPunct/>
        <w:autoSpaceDE/>
        <w:autoSpaceDN/>
        <w:adjustRightInd/>
        <w:spacing w:after="200" w:line="276" w:lineRule="auto"/>
        <w:ind w:left="356" w:firstLine="364"/>
        <w:textAlignment w:val="auto"/>
        <w:rPr>
          <w:rFonts w:ascii="David" w:eastAsia="Calibri" w:hAnsi="David"/>
          <w:rtl/>
          <w:lang w:eastAsia="en-US"/>
        </w:rPr>
      </w:pPr>
      <w:r>
        <w:rPr>
          <w:rFonts w:ascii="David" w:eastAsia="Calibri" w:hAnsi="David"/>
          <w:rtl/>
          <w:lang w:eastAsia="en-US"/>
        </w:rPr>
        <w:t>בכל פוליסות הביטוח הנדרשות</w:t>
      </w:r>
      <w:r>
        <w:rPr>
          <w:rFonts w:ascii="David" w:eastAsia="Calibri" w:hAnsi="David" w:hint="cs"/>
          <w:rtl/>
          <w:lang w:eastAsia="en-US"/>
        </w:rPr>
        <w:t xml:space="preserve"> מצד ב</w:t>
      </w:r>
      <w:r>
        <w:rPr>
          <w:rFonts w:ascii="David" w:eastAsia="Calibri" w:hAnsi="David"/>
          <w:rtl/>
          <w:lang w:eastAsia="en-US"/>
        </w:rPr>
        <w:t>' יכללו התנאים הבאים:</w:t>
      </w:r>
    </w:p>
    <w:p>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לשם המבוטח יתווספו כמבוטחים נוספים:</w:t>
      </w:r>
      <w:r>
        <w:rPr>
          <w:rFonts w:ascii="David" w:hAnsi="David"/>
          <w:lang w:eastAsia="en-US"/>
        </w:rPr>
        <w:t xml:space="preserve"> </w:t>
      </w:r>
      <w:r>
        <w:rPr>
          <w:rFonts w:ascii="David" w:hAnsi="David"/>
          <w:rtl/>
          <w:lang w:eastAsia="en-US"/>
        </w:rPr>
        <w:t>מדינת ישראל – משרד החינוך</w:t>
      </w:r>
      <w:r>
        <w:rPr>
          <w:rFonts w:ascii="David" w:hAnsi="David" w:hint="cs"/>
          <w:rtl/>
          <w:lang w:eastAsia="en-US"/>
        </w:rPr>
        <w:t xml:space="preserve">, </w:t>
      </w:r>
      <w:r>
        <w:rPr>
          <w:rFonts w:ascii="David" w:hAnsi="David"/>
          <w:rtl/>
          <w:lang w:eastAsia="en-US"/>
        </w:rPr>
        <w:t>בכפוף להרחבי השיפוי לעיל.</w:t>
      </w:r>
    </w:p>
    <w:p>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בכל מקרה של שינוי לרעה או ביטול הביטוח ע"י אחד הצדדים לא יהיה להם כל תוקף אלא, אם ניתנה על כך הודעה מוקדמת של 60 יום במכתב לחשב משרד החינוך.</w:t>
      </w:r>
    </w:p>
    <w:p>
      <w:pPr>
        <w:overflowPunct/>
        <w:autoSpaceDE/>
        <w:autoSpaceDN/>
        <w:adjustRightInd/>
        <w:spacing w:after="200" w:line="276" w:lineRule="auto"/>
        <w:ind w:left="1274"/>
        <w:contextualSpacing/>
        <w:textAlignment w:val="auto"/>
        <w:rPr>
          <w:rFonts w:ascii="David" w:hAnsi="David"/>
          <w:lang w:eastAsia="en-US"/>
        </w:rPr>
      </w:pPr>
    </w:p>
    <w:p>
      <w:pPr>
        <w:overflowPunct/>
        <w:autoSpaceDE/>
        <w:autoSpaceDN/>
        <w:adjustRightInd/>
        <w:spacing w:after="200" w:line="276" w:lineRule="auto"/>
        <w:ind w:left="1274"/>
        <w:contextualSpacing/>
        <w:jc w:val="right"/>
        <w:textAlignment w:val="auto"/>
        <w:rPr>
          <w:rFonts w:ascii="David" w:hAnsi="David"/>
          <w:rtl/>
          <w:lang w:eastAsia="en-US"/>
        </w:rPr>
      </w:pPr>
      <w:r>
        <w:rPr>
          <w:rFonts w:ascii="David" w:hAnsi="David" w:hint="cs"/>
          <w:rtl/>
          <w:lang w:eastAsia="en-US"/>
        </w:rPr>
        <w:lastRenderedPageBreak/>
        <w:t>נספח מספר 2</w:t>
      </w:r>
    </w:p>
    <w:p>
      <w:pPr>
        <w:overflowPunct/>
        <w:autoSpaceDE/>
        <w:autoSpaceDN/>
        <w:adjustRightInd/>
        <w:spacing w:after="200" w:line="276" w:lineRule="auto"/>
        <w:ind w:left="1274"/>
        <w:contextualSpacing/>
        <w:jc w:val="right"/>
        <w:textAlignment w:val="auto"/>
        <w:rPr>
          <w:rFonts w:ascii="David" w:hAnsi="David"/>
          <w:rtl/>
          <w:lang w:eastAsia="en-US"/>
        </w:rPr>
      </w:pPr>
      <w:r>
        <w:rPr>
          <w:rFonts w:ascii="David" w:hAnsi="David" w:hint="cs"/>
          <w:rtl/>
          <w:lang w:eastAsia="en-US"/>
        </w:rPr>
        <w:t>דף 8 מתוך 13</w:t>
      </w:r>
    </w:p>
    <w:p>
      <w:pPr>
        <w:overflowPunct/>
        <w:autoSpaceDE/>
        <w:autoSpaceDN/>
        <w:adjustRightInd/>
        <w:spacing w:after="200" w:line="276" w:lineRule="auto"/>
        <w:ind w:left="1274"/>
        <w:contextualSpacing/>
        <w:textAlignment w:val="auto"/>
        <w:rPr>
          <w:rFonts w:ascii="David" w:hAnsi="David"/>
          <w:lang w:eastAsia="en-US"/>
        </w:rPr>
      </w:pPr>
    </w:p>
    <w:p>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המבטח מוותר על כל זכות תחלוף/שיבוב, תביעה, השתתפות או חזרה כלפי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עובדיהם</w:t>
      </w:r>
      <w:r>
        <w:rPr>
          <w:rFonts w:ascii="David" w:hAnsi="David" w:hint="cs"/>
          <w:rtl/>
          <w:lang w:eastAsia="en-US"/>
        </w:rPr>
        <w:t xml:space="preserve"> וכלפי המשתתפים בתוכנית </w:t>
      </w:r>
      <w:r>
        <w:rPr>
          <w:rFonts w:ascii="David" w:hAnsi="David"/>
          <w:rtl/>
          <w:lang w:eastAsia="en-US"/>
        </w:rPr>
        <w:t>בלבד שהוויתור לא יחול לטובת אדם שגרם לנזק מתוך כוונת זדון.</w:t>
      </w:r>
    </w:p>
    <w:p>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צד ב' אחראי בלעדית כלפי המבטח לתשלום דמי הביטוח עבור כל הפוליסות ולמילוי כל החובות המוטלות על המבוטח על פי תנאי הפוליסות.</w:t>
      </w:r>
    </w:p>
    <w:p>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ההשתתפויות העצמיות הנקובות בכל פוליסה ופוליסה תחולנה בלעדית על צד ב'.</w:t>
      </w:r>
    </w:p>
    <w:p>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כל סעיף בפוליסות הביטוח המפקיע או מקטין בדרך כלשהי את אחריות המבטח כאשר קיים ביטוח אחר, לא יופעל כלפי מדינת ישראל</w:t>
      </w:r>
      <w:r>
        <w:rPr>
          <w:rFonts w:ascii="David" w:hAnsi="David" w:hint="cs"/>
          <w:rtl/>
          <w:lang w:eastAsia="en-US"/>
        </w:rPr>
        <w:t xml:space="preserve">- משרד החינוך, </w:t>
      </w:r>
      <w:r>
        <w:rPr>
          <w:rFonts w:ascii="David" w:hAnsi="David"/>
          <w:rtl/>
          <w:lang w:eastAsia="en-US"/>
        </w:rPr>
        <w:t>והביטוח הינו</w:t>
      </w:r>
      <w:r>
        <w:rPr>
          <w:rFonts w:ascii="David" w:hAnsi="David" w:hint="cs"/>
          <w:rtl/>
          <w:lang w:eastAsia="en-US"/>
        </w:rPr>
        <w:t xml:space="preserve"> </w:t>
      </w:r>
      <w:r>
        <w:rPr>
          <w:rFonts w:ascii="David" w:hAnsi="David"/>
          <w:rtl/>
          <w:lang w:eastAsia="en-US"/>
        </w:rPr>
        <w:t>בחזקת ביטוח ראשוני המזכה במלוא  הזכויות על פי הביטוח.</w:t>
      </w:r>
    </w:p>
    <w:p>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תנאי הכיסוי של הפוליסות חבות המעבידים, אחריות כלפי צד שלישי, לא יפחתו מהמקובל על פי תנאי "פוליסות נוסח ביט" או נוסח המקביל להם אצל אותו המבטח בכפוף להרחבת הכיסויים המתחייבים על פי הנדרש לעיל. </w:t>
      </w:r>
    </w:p>
    <w:p>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חריג כוונה ו/או רשלנות רבתי יבוטל ככל שקיים.</w:t>
      </w:r>
    </w:p>
    <w:p>
      <w:pPr>
        <w:overflowPunct/>
        <w:autoSpaceDE/>
        <w:autoSpaceDN/>
        <w:adjustRightInd/>
        <w:spacing w:line="276" w:lineRule="auto"/>
        <w:ind w:left="1274"/>
        <w:contextualSpacing/>
        <w:textAlignment w:val="auto"/>
        <w:rPr>
          <w:rFonts w:ascii="David" w:hAnsi="David"/>
          <w:lang w:eastAsia="en-US"/>
        </w:rPr>
      </w:pPr>
    </w:p>
    <w:p>
      <w:pPr>
        <w:numPr>
          <w:ilvl w:val="0"/>
          <w:numId w:val="33"/>
        </w:numPr>
        <w:overflowPunct/>
        <w:autoSpaceDE/>
        <w:autoSpaceDN/>
        <w:adjustRightInd/>
        <w:spacing w:line="276" w:lineRule="auto"/>
        <w:ind w:left="498" w:hanging="426"/>
        <w:textAlignment w:val="auto"/>
        <w:rPr>
          <w:rFonts w:ascii="David" w:hAnsi="David"/>
          <w:rtl/>
          <w:lang w:eastAsia="en-US"/>
        </w:rPr>
      </w:pPr>
      <w:r>
        <w:rPr>
          <w:rFonts w:ascii="David" w:hAnsi="David"/>
          <w:rtl/>
        </w:rPr>
        <w:t xml:space="preserve">צד ב' מתחייב בכל תקופת ההתקשרות החוזית עם מדינת ישראל </w:t>
      </w:r>
      <w:r>
        <w:rPr>
          <w:rFonts w:ascii="David" w:hAnsi="David"/>
          <w:rtl/>
          <w:lang w:eastAsia="en-US"/>
        </w:rPr>
        <w:t>–</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להחזיק בתוקף את פוליסות הביטוח. צד ב' מתחייב כי פוליסות הביטוח תחודשנה מדי תקופת ביטוח, כל עוד החוזה עם מדינת ישראל – משרד החינוך</w:t>
      </w:r>
      <w:r>
        <w:rPr>
          <w:rFonts w:ascii="David" w:hAnsi="David" w:hint="cs"/>
          <w:rtl/>
          <w:lang w:eastAsia="en-US"/>
        </w:rPr>
        <w:t xml:space="preserve"> </w:t>
      </w:r>
      <w:r>
        <w:rPr>
          <w:rFonts w:ascii="David" w:hAnsi="David"/>
          <w:rtl/>
          <w:lang w:eastAsia="en-US"/>
        </w:rPr>
        <w:t>בתוקף.</w:t>
      </w:r>
    </w:p>
    <w:p>
      <w:pPr>
        <w:overflowPunct/>
        <w:autoSpaceDE/>
        <w:autoSpaceDN/>
        <w:adjustRightInd/>
        <w:spacing w:line="276" w:lineRule="auto"/>
        <w:textAlignment w:val="auto"/>
        <w:rPr>
          <w:rFonts w:ascii="David" w:hAnsi="David"/>
          <w:rtl/>
          <w:lang w:eastAsia="en-US"/>
        </w:rPr>
      </w:pPr>
    </w:p>
    <w:p>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 xml:space="preserve">אישור בחתימתו של המבטח על קיום הביטוחים, יומצא על ידי צד ב' </w:t>
      </w:r>
      <w:r>
        <w:rPr>
          <w:rFonts w:ascii="David" w:hAnsi="David" w:hint="cs"/>
          <w:rtl/>
          <w:lang w:eastAsia="en-US"/>
        </w:rPr>
        <w:t>למשרד החינוך</w:t>
      </w:r>
      <w:r>
        <w:rPr>
          <w:rFonts w:ascii="David" w:hAnsi="David"/>
          <w:rtl/>
          <w:lang w:eastAsia="en-US"/>
        </w:rPr>
        <w:t xml:space="preserve"> </w:t>
      </w:r>
      <w:r>
        <w:rPr>
          <w:rFonts w:ascii="David" w:hAnsi="David"/>
          <w:rtl/>
        </w:rPr>
        <w:t xml:space="preserve">עד למועד חתימת החוזה. צד ב' מתחייב להציג את האישור חתום בחתימת המבטח אודות חידוש הפוליסות </w:t>
      </w:r>
      <w:r>
        <w:rPr>
          <w:rFonts w:ascii="David" w:hAnsi="David" w:hint="cs"/>
          <w:rtl/>
          <w:lang w:eastAsia="en-US"/>
        </w:rPr>
        <w:t>למשרד החינוך</w:t>
      </w:r>
      <w:r>
        <w:rPr>
          <w:rFonts w:ascii="David" w:hAnsi="David"/>
          <w:rtl/>
        </w:rPr>
        <w:t xml:space="preserve"> לכל המאוחר שבעה ימים לפני תום תקופת הביטוח. </w:t>
      </w:r>
    </w:p>
    <w:p>
      <w:pPr>
        <w:overflowPunct/>
        <w:autoSpaceDE/>
        <w:autoSpaceDN/>
        <w:adjustRightInd/>
        <w:spacing w:line="276" w:lineRule="auto"/>
        <w:ind w:left="720"/>
        <w:contextualSpacing/>
        <w:textAlignment w:val="auto"/>
        <w:rPr>
          <w:rFonts w:ascii="David" w:hAnsi="David"/>
          <w:rtl/>
        </w:rPr>
      </w:pPr>
    </w:p>
    <w:p>
      <w:pPr>
        <w:overflowPunct/>
        <w:autoSpaceDE/>
        <w:autoSpaceDN/>
        <w:adjustRightInd/>
        <w:spacing w:line="276" w:lineRule="auto"/>
        <w:ind w:left="498"/>
        <w:textAlignment w:val="auto"/>
        <w:rPr>
          <w:rFonts w:ascii="David" w:hAnsi="David"/>
        </w:rPr>
      </w:pPr>
      <w:r>
        <w:rPr>
          <w:rFonts w:ascii="David" w:hAnsi="David"/>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בדרישות אלה ובמידת הצורך להיעזר באנשי ביטוח מטעמו, על מנת לעמוד בדרישות וליישמן בביטוחים כנדרש.</w:t>
      </w:r>
    </w:p>
    <w:p>
      <w:pPr>
        <w:overflowPunct/>
        <w:autoSpaceDE/>
        <w:autoSpaceDN/>
        <w:adjustRightInd/>
        <w:spacing w:line="276" w:lineRule="auto"/>
        <w:ind w:left="720"/>
        <w:contextualSpacing/>
        <w:textAlignment w:val="auto"/>
        <w:rPr>
          <w:rFonts w:ascii="David" w:hAnsi="David"/>
          <w:rtl/>
        </w:rPr>
      </w:pPr>
    </w:p>
    <w:p>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rPr>
        <w:t xml:space="preserve">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w:t>
      </w:r>
      <w:r>
        <w:rPr>
          <w:rFonts w:ascii="David" w:hAnsi="David" w:hint="cs"/>
          <w:rtl/>
        </w:rPr>
        <w:t>תעביר</w:t>
      </w:r>
      <w:r>
        <w:rPr>
          <w:rFonts w:ascii="David" w:hAnsi="David"/>
          <w:rtl/>
        </w:rPr>
        <w:t xml:space="preserve">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w:t>
      </w:r>
      <w:r>
        <w:rPr>
          <w:rFonts w:ascii="David" w:hAnsi="David"/>
          <w:rtl/>
          <w:lang w:eastAsia="en-US"/>
        </w:rPr>
        <w:t xml:space="preserve"> מוסכם כי צד ב' </w:t>
      </w:r>
      <w:r>
        <w:rPr>
          <w:rFonts w:ascii="David" w:hAnsi="David" w:hint="cs"/>
          <w:rtl/>
          <w:lang w:eastAsia="en-US"/>
        </w:rPr>
        <w:t>תהיה רשאית</w:t>
      </w:r>
      <w:r>
        <w:rPr>
          <w:rFonts w:ascii="David" w:hAnsi="David"/>
          <w:rtl/>
          <w:lang w:eastAsia="en-US"/>
        </w:rPr>
        <w:t xml:space="preserve"> למחוק מפוליסות הביטוח כאמור מידע עסקי ו/או מסחרי סודי שאינו רלוונטי להתקשרות זו</w:t>
      </w:r>
      <w:r>
        <w:rPr>
          <w:rFonts w:ascii="David" w:hAnsi="David"/>
          <w:rtl/>
        </w:rPr>
        <w:t>.</w:t>
      </w:r>
    </w:p>
    <w:p>
      <w:pPr>
        <w:keepNext/>
        <w:overflowPunct/>
        <w:autoSpaceDE/>
        <w:autoSpaceDN/>
        <w:adjustRightInd/>
        <w:spacing w:line="276" w:lineRule="auto"/>
        <w:ind w:left="-1"/>
        <w:contextualSpacing/>
        <w:textAlignment w:val="auto"/>
        <w:outlineLvl w:val="0"/>
        <w:rPr>
          <w:rFonts w:ascii="David" w:hAnsi="David"/>
          <w:rtl/>
        </w:rPr>
      </w:pPr>
    </w:p>
    <w:p>
      <w:pPr>
        <w:numPr>
          <w:ilvl w:val="0"/>
          <w:numId w:val="33"/>
        </w:numPr>
        <w:overflowPunct/>
        <w:autoSpaceDE/>
        <w:autoSpaceDN/>
        <w:adjustRightInd/>
        <w:spacing w:line="276" w:lineRule="auto"/>
        <w:ind w:left="498" w:hanging="426"/>
        <w:textAlignment w:val="auto"/>
        <w:rPr>
          <w:rFonts w:ascii="David" w:hAnsi="David"/>
          <w:rtl/>
          <w:lang w:eastAsia="en-US"/>
        </w:rPr>
      </w:pPr>
      <w:r>
        <w:rPr>
          <w:rFonts w:ascii="David" w:hAnsi="David"/>
          <w:rtl/>
        </w:rPr>
        <w:t>צד ב'</w:t>
      </w:r>
      <w:r>
        <w:rPr>
          <w:rFonts w:ascii="David" w:hAnsi="David"/>
          <w:rtl/>
          <w:lang w:eastAsia="en-US"/>
        </w:rPr>
        <w:t xml:space="preserve"> מצהיר ומתחייב כי זכות מדינת ישראל –</w:t>
      </w:r>
      <w:r>
        <w:rPr>
          <w:rFonts w:ascii="David" w:hAnsi="David" w:hint="cs"/>
          <w:rtl/>
          <w:lang w:eastAsia="en-US"/>
        </w:rPr>
        <w:t xml:space="preserve"> </w:t>
      </w:r>
      <w:r>
        <w:rPr>
          <w:rFonts w:ascii="David" w:hAnsi="David"/>
          <w:rtl/>
          <w:lang w:eastAsia="en-US"/>
        </w:rPr>
        <w:t>משרד החינוך, לעריכת הבדיקה ולדרישת השינויים כמפורט לעיל אינן מטילות על מדינת ישראל –</w:t>
      </w:r>
      <w:r>
        <w:rPr>
          <w:rFonts w:ascii="David" w:hAnsi="David" w:hint="cs"/>
          <w:rtl/>
          <w:lang w:eastAsia="en-US"/>
        </w:rPr>
        <w:t xml:space="preserve"> </w:t>
      </w:r>
      <w:r>
        <w:rPr>
          <w:rFonts w:ascii="David" w:hAnsi="David"/>
          <w:rtl/>
          <w:lang w:eastAsia="en-US"/>
        </w:rPr>
        <w:t>משרד החינוך, או</w:t>
      </w:r>
      <w:r>
        <w:rPr>
          <w:rFonts w:ascii="David" w:hAnsi="David"/>
          <w:lang w:eastAsia="en-US"/>
        </w:rPr>
        <w:t xml:space="preserve"> </w:t>
      </w:r>
      <w:r>
        <w:rPr>
          <w:rFonts w:ascii="David" w:hAnsi="David"/>
          <w:rtl/>
          <w:lang w:eastAsia="en-US"/>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rtl/>
        </w:rPr>
        <w:t>צד ב'</w:t>
      </w:r>
      <w:r>
        <w:rPr>
          <w:rFonts w:ascii="David" w:hAnsi="David"/>
          <w:rtl/>
          <w:lang w:eastAsia="en-US"/>
        </w:rPr>
        <w:t xml:space="preserve"> לפי החוזה, וזאת בין אם נדרשו התאמות ובין אם לאו, בין אם נבדקו ובין אם לאו.</w:t>
      </w:r>
    </w:p>
    <w:p>
      <w:pPr>
        <w:keepNext/>
        <w:overflowPunct/>
        <w:autoSpaceDE/>
        <w:autoSpaceDN/>
        <w:adjustRightInd/>
        <w:spacing w:line="276" w:lineRule="auto"/>
        <w:ind w:left="-1"/>
        <w:contextualSpacing/>
        <w:textAlignment w:val="auto"/>
        <w:outlineLvl w:val="0"/>
        <w:rPr>
          <w:rFonts w:ascii="David" w:hAnsi="David"/>
          <w:b/>
          <w:bCs/>
          <w:rtl/>
          <w:lang w:eastAsia="en-US"/>
        </w:rPr>
      </w:pPr>
    </w:p>
    <w:p>
      <w:pPr>
        <w:numPr>
          <w:ilvl w:val="0"/>
          <w:numId w:val="33"/>
        </w:numPr>
        <w:overflowPunct/>
        <w:autoSpaceDE/>
        <w:autoSpaceDN/>
        <w:adjustRightInd/>
        <w:spacing w:line="276" w:lineRule="auto"/>
        <w:ind w:left="498" w:hanging="426"/>
        <w:textAlignment w:val="auto"/>
        <w:rPr>
          <w:rFonts w:ascii="David" w:hAnsi="David"/>
          <w:lang w:eastAsia="en-US"/>
        </w:rPr>
      </w:pPr>
      <w:r>
        <w:rPr>
          <w:rFonts w:ascii="David" w:hAnsi="David"/>
          <w:rtl/>
        </w:rPr>
        <w:t xml:space="preserve">למען הסר ספק מוסכם בזה כי הביטוחים הנדרשים גבולות האחריות ותנאי הכיסוי הם בבחינת דרישה מינימלית המוטלת על צד ב', ואין בהם משום אישור </w:t>
      </w:r>
      <w:r>
        <w:rPr>
          <w:rFonts w:ascii="David" w:hAnsi="David" w:hint="cs"/>
          <w:rtl/>
        </w:rPr>
        <w:t>מדינת ישראל</w:t>
      </w:r>
      <w:r>
        <w:rPr>
          <w:rFonts w:ascii="David" w:hAnsi="David"/>
          <w:rtl/>
        </w:rPr>
        <w:t xml:space="preserve"> או מי מטעמו להיקף וגודל הסיכון לביטוח ועליו לבחון את חשיפת</w:t>
      </w:r>
      <w:r>
        <w:rPr>
          <w:rFonts w:ascii="David" w:hAnsi="David" w:hint="cs"/>
          <w:rtl/>
        </w:rPr>
        <w:t>ה</w:t>
      </w:r>
      <w:r>
        <w:rPr>
          <w:rFonts w:ascii="David" w:hAnsi="David"/>
          <w:rtl/>
        </w:rPr>
        <w:t xml:space="preserve"> ולקבוע את הביטוחים הנחוצים לרבות היקף הכיסויים, וגבולות האחריות ותקופת הביטוח בהתאם לכך.</w:t>
      </w:r>
    </w:p>
    <w:p>
      <w:pPr>
        <w:overflowPunct/>
        <w:autoSpaceDE/>
        <w:autoSpaceDN/>
        <w:adjustRightInd/>
        <w:spacing w:line="276" w:lineRule="auto"/>
        <w:ind w:left="226"/>
        <w:textAlignment w:val="auto"/>
        <w:rPr>
          <w:rFonts w:ascii="David" w:hAnsi="David"/>
          <w:lang w:eastAsia="en-US"/>
        </w:rPr>
      </w:pPr>
    </w:p>
    <w:p>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אין בכל האמור בסעיפי הביטוח כדי לפטור את צד ב'</w:t>
      </w:r>
      <w:r>
        <w:rPr>
          <w:rFonts w:ascii="David" w:hAnsi="David"/>
          <w:rtl/>
          <w:lang w:eastAsia="en-US"/>
        </w:rPr>
        <w:t xml:space="preserve"> </w:t>
      </w:r>
      <w:r>
        <w:rPr>
          <w:rFonts w:ascii="David" w:hAnsi="David"/>
          <w:rtl/>
        </w:rPr>
        <w:t>מכל חובה החלה עלי</w:t>
      </w:r>
      <w:r>
        <w:rPr>
          <w:rFonts w:ascii="David" w:hAnsi="David" w:hint="cs"/>
          <w:rtl/>
        </w:rPr>
        <w:t>ה</w:t>
      </w:r>
      <w:r>
        <w:rPr>
          <w:rFonts w:ascii="David" w:hAnsi="David"/>
          <w:rtl/>
        </w:rPr>
        <w:t xml:space="preserve"> על פי דין ועל פי החוזה ואין לפרש את האמור כוויתור של מדינת ישראל </w:t>
      </w:r>
      <w:r>
        <w:rPr>
          <w:rFonts w:ascii="David" w:hAnsi="David"/>
          <w:rtl/>
          <w:lang w:eastAsia="en-US"/>
        </w:rPr>
        <w:t>–</w:t>
      </w:r>
      <w:r>
        <w:rPr>
          <w:rFonts w:ascii="David" w:hAnsi="David" w:hint="cs"/>
          <w:rtl/>
          <w:lang w:eastAsia="en-US"/>
        </w:rPr>
        <w:t xml:space="preserve"> </w:t>
      </w:r>
      <w:r>
        <w:rPr>
          <w:rFonts w:ascii="David" w:hAnsi="David"/>
          <w:rtl/>
          <w:lang w:eastAsia="en-US"/>
        </w:rPr>
        <w:t xml:space="preserve">משרד החינוך, </w:t>
      </w:r>
      <w:r>
        <w:rPr>
          <w:rFonts w:ascii="David" w:hAnsi="David"/>
          <w:rtl/>
        </w:rPr>
        <w:t>על כל זכות או סעד המוקנים להם על פי כל דין ועל פי חוזה זה.</w:t>
      </w:r>
    </w:p>
    <w:p>
      <w:pPr>
        <w:keepNext/>
        <w:overflowPunct/>
        <w:autoSpaceDE/>
        <w:autoSpaceDN/>
        <w:adjustRightInd/>
        <w:spacing w:line="276" w:lineRule="auto"/>
        <w:ind w:left="-1"/>
        <w:contextualSpacing/>
        <w:textAlignment w:val="auto"/>
        <w:outlineLvl w:val="0"/>
        <w:rPr>
          <w:rFonts w:ascii="David" w:hAnsi="David"/>
          <w:rtl/>
        </w:rPr>
      </w:pPr>
    </w:p>
    <w:p>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אי עמידה בתנאי סעיפי ביטוח אלו מהווה הפרה יסודית של החוזה</w:t>
      </w:r>
      <w:r>
        <w:rPr>
          <w:rFonts w:ascii="David" w:hAnsi="David" w:hint="cs"/>
          <w:rtl/>
        </w:rPr>
        <w:t>,</w:t>
      </w:r>
      <w:r>
        <w:rPr>
          <w:rFonts w:ascii="David" w:hAnsi="David"/>
          <w:rtl/>
        </w:rPr>
        <w:t xml:space="preserve"> על אף האמור אי העברת אישור ביטוח בגין חידוש תוך 3 ימים ממועד החידוש לא תהווה הפרה יסודית, ובלבד שהביטוחים חודשו תוך שמירה על הרצף הביטוחי ובהתאם לתנאים נשוא הסכם זה"</w:t>
      </w:r>
      <w:r>
        <w:rPr>
          <w:rFonts w:ascii="David" w:eastAsia="Calibri" w:hAnsi="David"/>
          <w:b/>
          <w:bCs/>
          <w:rtl/>
          <w:lang w:eastAsia="en-US"/>
        </w:rPr>
        <w:t>.</w:t>
      </w:r>
    </w:p>
    <w:p>
      <w:pPr>
        <w:pStyle w:val="aff2"/>
        <w:rPr>
          <w:rFonts w:ascii="David" w:hAnsi="David"/>
          <w:rtl/>
        </w:rPr>
      </w:pPr>
    </w:p>
    <w:p>
      <w:pPr>
        <w:widowControl w:val="0"/>
        <w:spacing w:line="240" w:lineRule="auto"/>
        <w:ind w:left="-33"/>
        <w:jc w:val="right"/>
        <w:rPr>
          <w:rtl/>
        </w:rPr>
      </w:pPr>
      <w:r>
        <w:rPr>
          <w:rFonts w:hint="cs"/>
          <w:rtl/>
        </w:rPr>
        <w:t xml:space="preserve"> נספח מספר 2</w:t>
      </w:r>
    </w:p>
    <w:p>
      <w:pPr>
        <w:widowControl w:val="0"/>
        <w:spacing w:line="240" w:lineRule="auto"/>
        <w:ind w:left="-33"/>
        <w:jc w:val="right"/>
        <w:rPr>
          <w:rtl/>
        </w:rPr>
      </w:pPr>
      <w:r>
        <w:rPr>
          <w:rFonts w:hint="cs"/>
          <w:rtl/>
        </w:rPr>
        <w:t xml:space="preserve">דף </w:t>
      </w:r>
      <w:r>
        <w:rPr>
          <w:rStyle w:val="ad"/>
          <w:rFonts w:hint="cs"/>
          <w:rtl/>
        </w:rPr>
        <w:t>9</w:t>
      </w:r>
      <w:r>
        <w:rPr>
          <w:rFonts w:hint="cs"/>
          <w:rtl/>
        </w:rPr>
        <w:t xml:space="preserve"> מתוך 13</w:t>
      </w:r>
    </w:p>
    <w:p>
      <w:pPr>
        <w:widowControl w:val="0"/>
        <w:numPr>
          <w:ilvl w:val="0"/>
          <w:numId w:val="13"/>
        </w:numPr>
        <w:spacing w:after="100" w:line="300" w:lineRule="atLeast"/>
        <w:textAlignment w:val="auto"/>
        <w:rPr>
          <w:b/>
          <w:bCs/>
          <w:u w:val="single"/>
          <w:rtl/>
          <w:lang w:eastAsia="en-US"/>
        </w:rPr>
      </w:pPr>
      <w:r>
        <w:rPr>
          <w:rFonts w:hint="cs"/>
          <w:b/>
          <w:bCs/>
          <w:u w:val="single"/>
          <w:rtl/>
          <w:lang w:eastAsia="en-US"/>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13"/>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pPr>
        <w:widowControl w:val="0"/>
        <w:numPr>
          <w:ilvl w:val="1"/>
          <w:numId w:val="13"/>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numPr>
          <w:ilvl w:val="1"/>
          <w:numId w:val="13"/>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pPr>
        <w:widowControl w:val="0"/>
        <w:numPr>
          <w:ilvl w:val="1"/>
          <w:numId w:val="13"/>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pPr>
        <w:widowControl w:val="0"/>
        <w:spacing w:line="240" w:lineRule="auto"/>
        <w:ind w:left="-33"/>
        <w:jc w:val="right"/>
        <w:rPr>
          <w:rtl/>
        </w:rPr>
      </w:pPr>
      <w:r>
        <w:rPr>
          <w:rtl/>
        </w:rPr>
        <w:br w:type="page"/>
      </w:r>
      <w:r>
        <w:rPr>
          <w:rFonts w:hint="cs"/>
          <w:rtl/>
        </w:rPr>
        <w:lastRenderedPageBreak/>
        <w:t>נספח מספר 2</w:t>
      </w:r>
    </w:p>
    <w:p>
      <w:pPr>
        <w:widowControl w:val="0"/>
        <w:spacing w:line="240" w:lineRule="auto"/>
        <w:ind w:left="-33"/>
        <w:jc w:val="right"/>
        <w:rPr>
          <w:rtl/>
        </w:rPr>
      </w:pPr>
      <w:r>
        <w:rPr>
          <w:rFonts w:hint="cs"/>
          <w:rtl/>
        </w:rPr>
        <w:t xml:space="preserve">דף </w:t>
      </w:r>
      <w:r>
        <w:rPr>
          <w:rStyle w:val="ad"/>
          <w:rFonts w:hint="cs"/>
          <w:rtl/>
        </w:rPr>
        <w:t>10</w:t>
      </w:r>
      <w:r>
        <w:rPr>
          <w:rFonts w:hint="cs"/>
          <w:rtl/>
        </w:rPr>
        <w:t xml:space="preserve"> מתוך 13</w:t>
      </w:r>
    </w:p>
    <w:p>
      <w:pPr>
        <w:widowControl w:val="0"/>
        <w:spacing w:line="240" w:lineRule="auto"/>
        <w:ind w:left="-33"/>
        <w:jc w:val="right"/>
        <w:rPr>
          <w:rtl/>
        </w:rPr>
      </w:pPr>
    </w:p>
    <w:p>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pPr>
        <w:widowControl w:val="0"/>
        <w:numPr>
          <w:ilvl w:val="1"/>
          <w:numId w:val="13"/>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pPr>
        <w:widowControl w:val="0"/>
        <w:numPr>
          <w:ilvl w:val="1"/>
          <w:numId w:val="13"/>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numPr>
          <w:ilvl w:val="1"/>
          <w:numId w:val="13"/>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pPr>
        <w:widowControl w:val="0"/>
        <w:numPr>
          <w:ilvl w:val="1"/>
          <w:numId w:val="13"/>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pPr>
        <w:widowControl w:val="0"/>
        <w:numPr>
          <w:ilvl w:val="1"/>
          <w:numId w:val="13"/>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pPr>
        <w:widowControl w:val="0"/>
        <w:numPr>
          <w:ilvl w:val="1"/>
          <w:numId w:val="13"/>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ספק שירותים אחר, המועסקים במסגרת הפרוייקט, לידי ה</w:t>
      </w:r>
      <w:r>
        <w:rPr>
          <w:rFonts w:ascii="David" w:hAnsi="David" w:hint="cs"/>
          <w:rtl/>
          <w:lang w:eastAsia="en-US"/>
        </w:rPr>
        <w:t>משרד</w:t>
      </w:r>
      <w:r>
        <w:rPr>
          <w:rFonts w:ascii="David" w:hAnsi="David"/>
          <w:rtl/>
          <w:lang w:eastAsia="en-US"/>
        </w:rPr>
        <w:t>.</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3"/>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13"/>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11"/>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11"/>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11"/>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11"/>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pPr>
        <w:widowControl w:val="0"/>
        <w:numPr>
          <w:ilvl w:val="2"/>
          <w:numId w:val="11"/>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pPr>
        <w:widowControl w:val="0"/>
        <w:numPr>
          <w:ilvl w:val="2"/>
          <w:numId w:val="11"/>
        </w:numPr>
        <w:overflowPunct/>
        <w:autoSpaceDE/>
        <w:autoSpaceDN/>
        <w:adjustRightInd/>
        <w:spacing w:after="160" w:line="300" w:lineRule="atLeast"/>
        <w:textAlignment w:val="auto"/>
        <w:rPr>
          <w:noProof/>
        </w:rPr>
      </w:pPr>
      <w:r>
        <w:rPr>
          <w:rFonts w:hint="cs"/>
          <w:noProof/>
          <w:rtl/>
        </w:rPr>
        <w:lastRenderedPageBreak/>
        <w:t>אם צד ב' הפר קניין רוחני.</w:t>
      </w:r>
    </w:p>
    <w:p>
      <w:pPr>
        <w:widowControl w:val="0"/>
        <w:overflowPunct/>
        <w:autoSpaceDE/>
        <w:autoSpaceDN/>
        <w:adjustRightInd/>
        <w:spacing w:after="160" w:line="300" w:lineRule="atLeast"/>
        <w:ind w:left="1418"/>
        <w:jc w:val="right"/>
        <w:textAlignment w:val="auto"/>
        <w:rPr>
          <w:noProof/>
          <w:rtl/>
        </w:rPr>
      </w:pPr>
      <w:r>
        <w:rPr>
          <w:noProof/>
          <w:rtl/>
        </w:rPr>
        <w:t>נספח מספר 2</w:t>
      </w:r>
    </w:p>
    <w:p>
      <w:pPr>
        <w:widowControl w:val="0"/>
        <w:overflowPunct/>
        <w:autoSpaceDE/>
        <w:autoSpaceDN/>
        <w:adjustRightInd/>
        <w:spacing w:after="160" w:line="300" w:lineRule="atLeast"/>
        <w:ind w:left="1418"/>
        <w:jc w:val="right"/>
        <w:textAlignment w:val="auto"/>
        <w:rPr>
          <w:noProof/>
        </w:rPr>
      </w:pPr>
      <w:r>
        <w:rPr>
          <w:noProof/>
          <w:rtl/>
        </w:rPr>
        <w:t xml:space="preserve">דף </w:t>
      </w:r>
      <w:r>
        <w:rPr>
          <w:rFonts w:hint="cs"/>
          <w:noProof/>
          <w:rtl/>
        </w:rPr>
        <w:t>11</w:t>
      </w:r>
      <w:r>
        <w:rPr>
          <w:noProof/>
          <w:rtl/>
        </w:rPr>
        <w:t xml:space="preserve"> מתוך 13</w:t>
      </w:r>
    </w:p>
    <w:p>
      <w:pPr>
        <w:widowControl w:val="0"/>
        <w:numPr>
          <w:ilvl w:val="1"/>
          <w:numId w:val="13"/>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13"/>
        </w:numPr>
        <w:overflowPunct/>
        <w:autoSpaceDE/>
        <w:autoSpaceDN/>
        <w:adjustRightInd/>
        <w:spacing w:line="300" w:lineRule="atLeast"/>
        <w:textAlignment w:val="auto"/>
        <w:rPr>
          <w:noProof/>
        </w:rPr>
      </w:pPr>
      <w:r>
        <w:rPr>
          <w:noProof/>
          <w:rtl/>
        </w:rPr>
        <w:t>בוטל החוזה על ידי המשרד מסיבה כלשהי וצד ב' ביצע רק חלק ממנו, לא ישולמו לצד ב' כספים מעבר לחלק היחסי של העבודה שבוצעה.</w:t>
      </w:r>
    </w:p>
    <w:p>
      <w:pPr>
        <w:widowControl w:val="0"/>
        <w:spacing w:line="240" w:lineRule="auto"/>
        <w:rPr>
          <w:noProof/>
        </w:rPr>
      </w:pPr>
    </w:p>
    <w:p>
      <w:pPr>
        <w:widowControl w:val="0"/>
        <w:numPr>
          <w:ilvl w:val="1"/>
          <w:numId w:val="13"/>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13"/>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pPr>
        <w:widowControl w:val="0"/>
        <w:numPr>
          <w:ilvl w:val="2"/>
          <w:numId w:val="13"/>
        </w:numPr>
        <w:overflowPunct/>
        <w:autoSpaceDE/>
        <w:autoSpaceDN/>
        <w:adjustRightInd/>
        <w:spacing w:after="160" w:line="300" w:lineRule="atLeast"/>
        <w:textAlignment w:val="auto"/>
        <w:rPr>
          <w:noProof/>
          <w:rtl/>
        </w:rPr>
      </w:pPr>
      <w:r>
        <w:rPr>
          <w:noProof/>
          <w:rtl/>
        </w:rPr>
        <w:t>אם ימונה מפרק זמני או קבוע לצד ב'.</w:t>
      </w:r>
    </w:p>
    <w:p>
      <w:pPr>
        <w:widowControl w:val="0"/>
        <w:numPr>
          <w:ilvl w:val="2"/>
          <w:numId w:val="13"/>
        </w:numPr>
        <w:overflowPunct/>
        <w:autoSpaceDE/>
        <w:autoSpaceDN/>
        <w:adjustRightInd/>
        <w:spacing w:after="160" w:line="300" w:lineRule="atLeast"/>
        <w:textAlignment w:val="auto"/>
        <w:rPr>
          <w:noProof/>
          <w:rtl/>
        </w:rPr>
      </w:pPr>
      <w:r>
        <w:rPr>
          <w:noProof/>
          <w:rtl/>
        </w:rPr>
        <w:t>אם ימונה נאמן בפשיטת רגל לצד ב'.</w:t>
      </w:r>
    </w:p>
    <w:p>
      <w:pPr>
        <w:widowControl w:val="0"/>
        <w:numPr>
          <w:ilvl w:val="2"/>
          <w:numId w:val="13"/>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pPr>
        <w:widowControl w:val="0"/>
        <w:numPr>
          <w:ilvl w:val="2"/>
          <w:numId w:val="13"/>
        </w:numPr>
        <w:overflowPunct/>
        <w:autoSpaceDE/>
        <w:autoSpaceDN/>
        <w:adjustRightInd/>
        <w:spacing w:after="160" w:line="300" w:lineRule="atLeast"/>
        <w:textAlignment w:val="auto"/>
        <w:rPr>
          <w:noProof/>
          <w:rtl/>
        </w:rPr>
      </w:pPr>
      <w:r>
        <w:rPr>
          <w:noProof/>
          <w:rtl/>
        </w:rPr>
        <w:t>אם צד ב' הסב את החוזה, כולו או מקצתו לאחר או העסיק ספק משנה בביצוע העבודה בלי הסכמת המשרד בכתב.</w:t>
      </w:r>
    </w:p>
    <w:p>
      <w:pPr>
        <w:widowControl w:val="0"/>
        <w:numPr>
          <w:ilvl w:val="2"/>
          <w:numId w:val="13"/>
        </w:numPr>
        <w:overflowPunct/>
        <w:autoSpaceDE/>
        <w:autoSpaceDN/>
        <w:adjustRightInd/>
        <w:spacing w:after="160" w:line="300" w:lineRule="atLeast"/>
        <w:textAlignment w:val="auto"/>
        <w:rPr>
          <w:noProof/>
          <w:rtl/>
        </w:rPr>
      </w:pPr>
      <w:r>
        <w:rPr>
          <w:noProof/>
          <w:rtl/>
        </w:rPr>
        <w:t>כשצד ב' הסתלק מביצוע החוזה.</w:t>
      </w:r>
    </w:p>
    <w:p>
      <w:pPr>
        <w:widowControl w:val="0"/>
        <w:numPr>
          <w:ilvl w:val="2"/>
          <w:numId w:val="13"/>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3"/>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spacing w:after="100" w:line="300" w:lineRule="atLeast"/>
        <w:textAlignment w:val="auto"/>
        <w:rPr>
          <w:b/>
          <w:bCs/>
          <w:u w:val="single"/>
          <w:lang w:eastAsia="en-US"/>
        </w:rPr>
      </w:pPr>
    </w:p>
    <w:p>
      <w:pPr>
        <w:widowControl w:val="0"/>
        <w:numPr>
          <w:ilvl w:val="0"/>
          <w:numId w:val="13"/>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13"/>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David" w:hAnsi="David"/>
          <w:color w:val="222222"/>
          <w:rtl/>
        </w:rPr>
      </w:pP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4"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5"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66" w:tgtFrame="_blank" w:history="1">
        <w:r>
          <w:rPr>
            <w:rFonts w:ascii="David" w:hAnsi="David"/>
            <w:color w:val="1155CC"/>
            <w:u w:val="single"/>
            <w:rtl/>
          </w:rPr>
          <w:t>הוראת תכ"ם, ''ערבויות דיגיטליות'', מס' 14.4.1.</w:t>
        </w:r>
      </w:hyperlink>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t>נספח מספר 2</w:t>
      </w:r>
    </w:p>
    <w:p>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t>דף 12 מתוך 13</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3"/>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3"/>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3"/>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pPr>
        <w:widowControl w:val="0"/>
        <w:spacing w:after="160" w:line="300" w:lineRule="atLeast"/>
        <w:ind w:left="709"/>
        <w:textAlignment w:val="auto"/>
        <w:rPr>
          <w:b/>
          <w:bCs/>
          <w:u w:val="single"/>
          <w:lang w:eastAsia="en-US"/>
        </w:rPr>
      </w:pPr>
    </w:p>
    <w:p>
      <w:pPr>
        <w:widowControl w:val="0"/>
        <w:numPr>
          <w:ilvl w:val="0"/>
          <w:numId w:val="13"/>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13"/>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13"/>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13"/>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after="100" w:line="300" w:lineRule="atLeast"/>
        <w:jc w:val="right"/>
        <w:textAlignment w:val="auto"/>
        <w:rPr>
          <w:rtl/>
          <w:lang w:eastAsia="en-US"/>
        </w:rPr>
      </w:pPr>
      <w:r>
        <w:rPr>
          <w:rFonts w:hint="cs"/>
          <w:rtl/>
          <w:lang w:eastAsia="en-US"/>
        </w:rPr>
        <w:lastRenderedPageBreak/>
        <w:t>נספח מספר 2</w:t>
      </w:r>
    </w:p>
    <w:p>
      <w:pPr>
        <w:widowControl w:val="0"/>
        <w:spacing w:after="100" w:line="300" w:lineRule="atLeast"/>
        <w:jc w:val="right"/>
        <w:textAlignment w:val="auto"/>
        <w:rPr>
          <w:rtl/>
          <w:lang w:eastAsia="en-US"/>
        </w:rPr>
      </w:pPr>
      <w:r>
        <w:rPr>
          <w:rFonts w:hint="cs"/>
          <w:rtl/>
          <w:lang w:eastAsia="en-US"/>
        </w:rPr>
        <w:t>דף 13 מתוך 13</w:t>
      </w:r>
    </w:p>
    <w:p>
      <w:pPr>
        <w:widowControl w:val="0"/>
        <w:spacing w:after="100" w:line="300" w:lineRule="atLeast"/>
        <w:textAlignment w:val="auto"/>
        <w:rPr>
          <w:b/>
          <w:bCs/>
          <w:u w:val="single"/>
          <w:lang w:eastAsia="en-US"/>
        </w:rPr>
      </w:pPr>
    </w:p>
    <w:p>
      <w:pPr>
        <w:widowControl w:val="0"/>
        <w:numPr>
          <w:ilvl w:val="0"/>
          <w:numId w:val="13"/>
        </w:numPr>
        <w:spacing w:after="160" w:line="300" w:lineRule="atLeast"/>
        <w:textAlignment w:val="auto"/>
        <w:rPr>
          <w:b/>
          <w:bCs/>
          <w:u w:val="single"/>
          <w:lang w:eastAsia="en-US"/>
        </w:rPr>
      </w:pPr>
      <w:r>
        <w:rPr>
          <w:b/>
          <w:bCs/>
          <w:u w:val="single"/>
          <w:rtl/>
          <w:lang w:eastAsia="en-US"/>
        </w:rPr>
        <w:t>שונות</w:t>
      </w:r>
    </w:p>
    <w:p>
      <w:pPr>
        <w:widowControl w:val="0"/>
        <w:numPr>
          <w:ilvl w:val="1"/>
          <w:numId w:val="13"/>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13"/>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13"/>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13"/>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Pr>
      </w:pPr>
    </w:p>
    <w:p>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spacing w:line="300" w:lineRule="atLeast"/>
        <w:ind w:left="1076" w:hanging="425"/>
        <w:jc w:val="center"/>
        <w:textAlignment w:val="auto"/>
        <w:rPr>
          <w:b/>
          <w:bCs/>
          <w:noProof/>
          <w:u w:val="single"/>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spacing w:line="240" w:lineRule="auto"/>
        <w:rPr>
          <w:rtl/>
          <w:lang w:eastAsia="en-US"/>
        </w:rPr>
      </w:pPr>
    </w:p>
    <w:p>
      <w:pPr>
        <w:widowControl w:val="0"/>
        <w:spacing w:line="240" w:lineRule="auto"/>
        <w:ind w:left="-33"/>
        <w:jc w:val="right"/>
      </w:pPr>
      <w:r>
        <w:rPr>
          <w:rtl/>
        </w:rPr>
        <w:br w:type="page"/>
      </w:r>
      <w:r>
        <w:rPr>
          <w:rFonts w:hint="cs"/>
          <w:rtl/>
        </w:rPr>
        <w:lastRenderedPageBreak/>
        <w:t xml:space="preserve"> </w:t>
      </w:r>
    </w:p>
    <w:p>
      <w:pPr>
        <w:widowControl w:val="0"/>
        <w:spacing w:line="240" w:lineRule="auto"/>
        <w:ind w:left="-33"/>
        <w:jc w:val="right"/>
        <w:rPr>
          <w:rtl/>
        </w:rPr>
      </w:pPr>
      <w:r>
        <w:rPr>
          <w:rFonts w:hint="cs"/>
          <w:rtl/>
        </w:rPr>
        <w:t>נספח מספר 3</w:t>
      </w:r>
    </w:p>
    <w:p>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pPr>
        <w:widowControl w:val="0"/>
        <w:spacing w:line="300" w:lineRule="atLeast"/>
        <w:ind w:left="-33"/>
        <w:jc w:val="right"/>
        <w:rPr>
          <w:b/>
          <w:bCs/>
          <w:sz w:val="30"/>
          <w:szCs w:val="30"/>
          <w:u w:val="single"/>
          <w:rtl/>
          <w:lang w:eastAsia="en-US"/>
        </w:rPr>
      </w:pPr>
    </w:p>
    <w:p>
      <w:pPr>
        <w:widowControl w:val="0"/>
        <w:spacing w:line="300" w:lineRule="atLeast"/>
        <w:ind w:left="-33"/>
        <w:jc w:val="center"/>
        <w:rPr>
          <w:b/>
          <w:bCs/>
          <w:sz w:val="26"/>
          <w:szCs w:val="26"/>
          <w:u w:val="single"/>
          <w:rtl/>
          <w:lang w:eastAsia="en-US"/>
        </w:rPr>
      </w:pPr>
      <w:r>
        <w:rPr>
          <w:b/>
          <w:bCs/>
          <w:sz w:val="26"/>
          <w:szCs w:val="26"/>
          <w:u w:val="single"/>
          <w:rtl/>
          <w:lang w:eastAsia="en-US"/>
        </w:rPr>
        <w:t xml:space="preserve">תקנות למניעת העסקה של עברייני מין במוסד המכוון למתן שירות לקטינים </w:t>
      </w:r>
      <w:r>
        <w:rPr>
          <w:rFonts w:hint="cs"/>
          <w:b/>
          <w:bCs/>
          <w:sz w:val="26"/>
          <w:szCs w:val="26"/>
          <w:u w:val="single"/>
          <w:rtl/>
          <w:lang w:eastAsia="en-US"/>
        </w:rPr>
        <w:br/>
      </w:r>
      <w:r>
        <w:rPr>
          <w:b/>
          <w:bCs/>
          <w:sz w:val="26"/>
          <w:szCs w:val="26"/>
          <w:u w:val="single"/>
          <w:rtl/>
          <w:lang w:eastAsia="en-US"/>
        </w:rPr>
        <w:t>(אישור המשטרה), התשס"ג-2003</w:t>
      </w:r>
      <w:r>
        <w:rPr>
          <w:b/>
          <w:bCs/>
          <w:sz w:val="26"/>
          <w:szCs w:val="26"/>
          <w:u w:val="single"/>
          <w:vertAlign w:val="superscript"/>
          <w:lang w:eastAsia="en-US"/>
        </w:rPr>
        <w:t>1</w:t>
      </w:r>
    </w:p>
    <w:p>
      <w:pPr>
        <w:widowControl w:val="0"/>
        <w:spacing w:line="300" w:lineRule="atLeast"/>
        <w:ind w:left="-33"/>
        <w:jc w:val="center"/>
        <w:rPr>
          <w:b/>
          <w:bCs/>
          <w:sz w:val="26"/>
          <w:szCs w:val="26"/>
          <w:u w:val="single"/>
          <w:lang w:eastAsia="en-US"/>
        </w:rPr>
      </w:pPr>
    </w:p>
    <w:p>
      <w:pPr>
        <w:pStyle w:val="NormalWeb"/>
        <w:widowControl w:val="0"/>
        <w:rPr>
          <w:rFonts w:cs="David"/>
          <w:sz w:val="26"/>
          <w:szCs w:val="26"/>
          <w:rtl/>
        </w:rPr>
      </w:pPr>
      <w:r>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pPr>
        <w:pStyle w:val="NormalWeb"/>
        <w:widowControl w:val="0"/>
        <w:numPr>
          <w:ilvl w:val="0"/>
          <w:numId w:val="14"/>
        </w:numPr>
        <w:rPr>
          <w:rFonts w:cs="David"/>
          <w:sz w:val="26"/>
          <w:szCs w:val="26"/>
          <w:rtl/>
        </w:rPr>
      </w:pPr>
      <w:r>
        <w:rPr>
          <w:rFonts w:cs="David"/>
          <w:b/>
          <w:bCs/>
          <w:sz w:val="26"/>
          <w:szCs w:val="26"/>
          <w:u w:val="single"/>
          <w:rtl/>
        </w:rPr>
        <w:t>הגדרות</w:t>
      </w:r>
    </w:p>
    <w:p>
      <w:pPr>
        <w:pStyle w:val="NormalWeb"/>
        <w:widowControl w:val="0"/>
        <w:numPr>
          <w:ilvl w:val="1"/>
          <w:numId w:val="14"/>
        </w:numPr>
        <w:rPr>
          <w:rFonts w:cs="David"/>
          <w:sz w:val="26"/>
          <w:szCs w:val="26"/>
          <w:rtl/>
        </w:rPr>
      </w:pPr>
      <w:r>
        <w:rPr>
          <w:rFonts w:cs="David"/>
          <w:sz w:val="26"/>
          <w:szCs w:val="26"/>
          <w:rtl/>
        </w:rPr>
        <w:t>בתקנות אלה -</w:t>
      </w:r>
    </w:p>
    <w:p>
      <w:pPr>
        <w:pStyle w:val="NormalWeb"/>
        <w:widowControl w:val="0"/>
        <w:numPr>
          <w:ilvl w:val="2"/>
          <w:numId w:val="14"/>
        </w:numPr>
        <w:rPr>
          <w:rFonts w:cs="David"/>
          <w:sz w:val="26"/>
          <w:szCs w:val="26"/>
          <w:rtl/>
        </w:rPr>
      </w:pPr>
      <w:r>
        <w:rPr>
          <w:rFonts w:cs="David"/>
          <w:sz w:val="26"/>
          <w:szCs w:val="26"/>
          <w:rtl/>
        </w:rPr>
        <w:t>"אישור המשטרה" - אישור ממשטרת ישראל כי אין מניעה לפי החוק להעסקת בגיר בעבודה במוסד;</w:t>
      </w:r>
    </w:p>
    <w:p>
      <w:pPr>
        <w:pStyle w:val="NormalWeb"/>
        <w:widowControl w:val="0"/>
        <w:numPr>
          <w:ilvl w:val="2"/>
          <w:numId w:val="14"/>
        </w:numPr>
        <w:rPr>
          <w:rFonts w:cs="David"/>
          <w:sz w:val="26"/>
          <w:szCs w:val="26"/>
          <w:rtl/>
        </w:rPr>
      </w:pPr>
      <w:r>
        <w:rPr>
          <w:rFonts w:cs="David"/>
          <w:sz w:val="26"/>
          <w:szCs w:val="26"/>
          <w:rtl/>
        </w:rPr>
        <w:t>"מבקש" - מעסיק, מוסד או בגיר המגיש בקשה לאישור המשטרה, כי אין מניעה להעסקת הבגיר לפי סעיף 3(ד) לחוק.</w:t>
      </w:r>
    </w:p>
    <w:p>
      <w:pPr>
        <w:pStyle w:val="NormalWeb"/>
        <w:widowControl w:val="0"/>
        <w:numPr>
          <w:ilvl w:val="0"/>
          <w:numId w:val="14"/>
        </w:numPr>
        <w:rPr>
          <w:rFonts w:cs="David"/>
          <w:b/>
          <w:bCs/>
          <w:sz w:val="26"/>
          <w:szCs w:val="26"/>
          <w:u w:val="single"/>
          <w:rtl/>
        </w:rPr>
      </w:pPr>
      <w:r>
        <w:rPr>
          <w:rFonts w:cs="David"/>
          <w:b/>
          <w:bCs/>
          <w:sz w:val="26"/>
          <w:szCs w:val="26"/>
          <w:u w:val="single"/>
          <w:rtl/>
        </w:rPr>
        <w:t>בקשה לאישור המשטרה</w:t>
      </w:r>
    </w:p>
    <w:p>
      <w:pPr>
        <w:pStyle w:val="NormalWeb"/>
        <w:widowControl w:val="0"/>
        <w:numPr>
          <w:ilvl w:val="1"/>
          <w:numId w:val="14"/>
        </w:numPr>
        <w:rPr>
          <w:rFonts w:cs="David"/>
          <w:sz w:val="26"/>
          <w:szCs w:val="26"/>
          <w:rtl/>
        </w:rPr>
      </w:pPr>
      <w:r>
        <w:rPr>
          <w:rFonts w:cs="David" w:hint="cs"/>
          <w:sz w:val="26"/>
          <w:szCs w:val="26"/>
          <w:rtl/>
        </w:rPr>
        <w:t>מ</w:t>
      </w:r>
      <w:r>
        <w:rPr>
          <w:rFonts w:cs="David"/>
          <w:sz w:val="26"/>
          <w:szCs w:val="26"/>
          <w:rtl/>
        </w:rPr>
        <w:t>בקש יגיש, במישרין או באמצעות יחיד אחר, בתחנת משטרה, בקשה לאישור המשטרה (להלן - הבקשה) -</w:t>
      </w:r>
    </w:p>
    <w:p>
      <w:pPr>
        <w:pStyle w:val="NormalWeb"/>
        <w:widowControl w:val="0"/>
        <w:numPr>
          <w:ilvl w:val="2"/>
          <w:numId w:val="14"/>
        </w:numPr>
        <w:rPr>
          <w:rFonts w:cs="David"/>
          <w:sz w:val="26"/>
          <w:szCs w:val="26"/>
          <w:rtl/>
        </w:rPr>
      </w:pPr>
      <w:r>
        <w:rPr>
          <w:rFonts w:cs="David"/>
          <w:sz w:val="26"/>
          <w:szCs w:val="26"/>
          <w:rtl/>
        </w:rPr>
        <w:t>אם הוא הבגיר - לפי טופס 1 שבתוספת, חתום בידו, ובצירוף תעודת מוסד לפי טופס 2 שבתוספת, חתומה ביד המעסיק או מנהל המוסד;</w:t>
      </w:r>
    </w:p>
    <w:p>
      <w:pPr>
        <w:pStyle w:val="NormalWeb"/>
        <w:widowControl w:val="0"/>
        <w:numPr>
          <w:ilvl w:val="2"/>
          <w:numId w:val="14"/>
        </w:numPr>
        <w:rPr>
          <w:rFonts w:cs="David"/>
          <w:sz w:val="26"/>
          <w:szCs w:val="26"/>
          <w:rtl/>
        </w:rPr>
      </w:pPr>
      <w:r>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pPr>
        <w:pStyle w:val="NormalWeb"/>
        <w:widowControl w:val="0"/>
        <w:numPr>
          <w:ilvl w:val="1"/>
          <w:numId w:val="14"/>
        </w:numPr>
        <w:rPr>
          <w:rFonts w:cs="David"/>
          <w:sz w:val="26"/>
          <w:szCs w:val="26"/>
          <w:rtl/>
        </w:rPr>
      </w:pPr>
      <w:r>
        <w:rPr>
          <w:rFonts w:cs="David"/>
          <w:sz w:val="26"/>
          <w:szCs w:val="26"/>
          <w:rtl/>
        </w:rPr>
        <w:t>היה המבקש בגיר -</w:t>
      </w:r>
    </w:p>
    <w:p>
      <w:pPr>
        <w:pStyle w:val="NormalWeb"/>
        <w:widowControl w:val="0"/>
        <w:numPr>
          <w:ilvl w:val="2"/>
          <w:numId w:val="14"/>
        </w:numPr>
        <w:rPr>
          <w:rFonts w:cs="David"/>
          <w:sz w:val="26"/>
          <w:szCs w:val="26"/>
          <w:rtl/>
        </w:rPr>
      </w:pPr>
      <w:r>
        <w:rPr>
          <w:rFonts w:cs="David"/>
          <w:sz w:val="26"/>
          <w:szCs w:val="26"/>
          <w:rtl/>
        </w:rPr>
        <w:t>והגיש את הבקשה בעצמו - תאומת זהותו באמצעות תעודת זהות או תעודה רשמית אחרת המעידה על זהותו והנושאת את תצלומו;</w:t>
      </w:r>
    </w:p>
    <w:p>
      <w:pPr>
        <w:pStyle w:val="NormalWeb"/>
        <w:widowControl w:val="0"/>
        <w:numPr>
          <w:ilvl w:val="2"/>
          <w:numId w:val="14"/>
        </w:numPr>
        <w:rPr>
          <w:rFonts w:cs="David"/>
          <w:sz w:val="26"/>
          <w:szCs w:val="26"/>
          <w:rtl/>
        </w:rPr>
      </w:pPr>
      <w:r>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pPr>
        <w:pStyle w:val="NormalWeb"/>
        <w:widowControl w:val="0"/>
        <w:numPr>
          <w:ilvl w:val="1"/>
          <w:numId w:val="14"/>
        </w:numPr>
        <w:rPr>
          <w:rFonts w:cs="David"/>
          <w:sz w:val="26"/>
          <w:szCs w:val="26"/>
          <w:rtl/>
        </w:rPr>
      </w:pPr>
      <w:r>
        <w:rPr>
          <w:rFonts w:cs="David"/>
          <w:sz w:val="26"/>
          <w:szCs w:val="26"/>
          <w:rtl/>
        </w:rPr>
        <w:t>היה המבקש מוסד או מעסיק -</w:t>
      </w:r>
    </w:p>
    <w:p>
      <w:pPr>
        <w:pStyle w:val="NormalWeb"/>
        <w:widowControl w:val="0"/>
        <w:numPr>
          <w:ilvl w:val="2"/>
          <w:numId w:val="14"/>
        </w:numPr>
        <w:rPr>
          <w:rFonts w:cs="David"/>
          <w:sz w:val="26"/>
          <w:szCs w:val="26"/>
          <w:rtl/>
        </w:rPr>
      </w:pPr>
      <w:r>
        <w:rPr>
          <w:rFonts w:cs="David"/>
          <w:sz w:val="26"/>
          <w:szCs w:val="26"/>
          <w:rtl/>
        </w:rPr>
        <w:t>והגיש המעסיק או מנהל המוסד את הבקשה - תאומת זהותו בדרך האמורה בתקנת משנה (ב)(1);</w:t>
      </w:r>
    </w:p>
    <w:p>
      <w:pPr>
        <w:pStyle w:val="NormalWeb"/>
        <w:widowControl w:val="0"/>
        <w:numPr>
          <w:ilvl w:val="2"/>
          <w:numId w:val="14"/>
        </w:numPr>
        <w:rPr>
          <w:rFonts w:cs="David"/>
          <w:sz w:val="26"/>
          <w:szCs w:val="26"/>
          <w:rtl/>
        </w:rPr>
      </w:pPr>
      <w:r>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pPr>
        <w:widowControl w:val="0"/>
        <w:spacing w:line="300" w:lineRule="atLeast"/>
        <w:ind w:left="-33"/>
        <w:jc w:val="right"/>
        <w:rPr>
          <w:sz w:val="26"/>
          <w:szCs w:val="26"/>
          <w:rtl/>
        </w:rPr>
      </w:pPr>
      <w:r>
        <w:rPr>
          <w:sz w:val="26"/>
          <w:szCs w:val="26"/>
          <w:rtl/>
        </w:rPr>
        <w:br w:type="page"/>
      </w:r>
      <w:r>
        <w:rPr>
          <w:rFonts w:hint="cs"/>
          <w:sz w:val="26"/>
          <w:szCs w:val="26"/>
          <w:rtl/>
        </w:rPr>
        <w:lastRenderedPageBreak/>
        <w:t xml:space="preserve"> נספח מספר 3</w:t>
      </w:r>
    </w:p>
    <w:p>
      <w:pPr>
        <w:widowControl w:val="0"/>
        <w:spacing w:line="300" w:lineRule="atLeast"/>
        <w:ind w:left="-33"/>
        <w:jc w:val="right"/>
        <w:rPr>
          <w:sz w:val="26"/>
          <w:szCs w:val="26"/>
          <w:rtl/>
        </w:rPr>
      </w:pPr>
      <w:r>
        <w:rPr>
          <w:rFonts w:hint="cs"/>
          <w:sz w:val="26"/>
          <w:szCs w:val="26"/>
          <w:rtl/>
        </w:rPr>
        <w:t xml:space="preserve">דף </w:t>
      </w:r>
      <w:r>
        <w:rPr>
          <w:rStyle w:val="ad"/>
          <w:sz w:val="26"/>
          <w:szCs w:val="26"/>
        </w:rPr>
        <w:t>2</w:t>
      </w:r>
      <w:r>
        <w:rPr>
          <w:rFonts w:hint="cs"/>
          <w:sz w:val="26"/>
          <w:szCs w:val="26"/>
          <w:rtl/>
        </w:rPr>
        <w:t xml:space="preserve"> מתוך 7</w:t>
      </w:r>
    </w:p>
    <w:p>
      <w:pPr>
        <w:widowControl w:val="0"/>
        <w:spacing w:line="300" w:lineRule="atLeast"/>
        <w:ind w:left="-33"/>
        <w:jc w:val="right"/>
        <w:rPr>
          <w:b/>
          <w:bCs/>
          <w:sz w:val="26"/>
          <w:szCs w:val="26"/>
          <w:rtl/>
          <w:lang w:eastAsia="en-US"/>
        </w:rPr>
      </w:pPr>
    </w:p>
    <w:p>
      <w:pPr>
        <w:pStyle w:val="NormalWeb"/>
        <w:widowControl w:val="0"/>
        <w:numPr>
          <w:ilvl w:val="1"/>
          <w:numId w:val="14"/>
        </w:numPr>
        <w:rPr>
          <w:rFonts w:cs="David"/>
          <w:sz w:val="26"/>
          <w:szCs w:val="26"/>
          <w:rtl/>
        </w:rPr>
      </w:pPr>
      <w:r>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pPr>
        <w:pStyle w:val="NormalWeb"/>
        <w:widowControl w:val="0"/>
        <w:numPr>
          <w:ilvl w:val="0"/>
          <w:numId w:val="14"/>
        </w:numPr>
        <w:rPr>
          <w:rFonts w:cs="David"/>
          <w:b/>
          <w:bCs/>
          <w:sz w:val="26"/>
          <w:szCs w:val="26"/>
          <w:u w:val="single"/>
          <w:rtl/>
        </w:rPr>
      </w:pPr>
      <w:r>
        <w:rPr>
          <w:rFonts w:cs="David"/>
          <w:b/>
          <w:bCs/>
          <w:sz w:val="26"/>
          <w:szCs w:val="26"/>
          <w:u w:val="single"/>
          <w:rtl/>
        </w:rPr>
        <w:t>תשובת המשטרה</w:t>
      </w:r>
    </w:p>
    <w:p>
      <w:pPr>
        <w:pStyle w:val="NormalWeb"/>
        <w:widowControl w:val="0"/>
        <w:numPr>
          <w:ilvl w:val="1"/>
          <w:numId w:val="14"/>
        </w:numPr>
        <w:rPr>
          <w:rFonts w:cs="David"/>
          <w:sz w:val="26"/>
          <w:szCs w:val="26"/>
          <w:rtl/>
        </w:rPr>
      </w:pPr>
      <w:r>
        <w:rPr>
          <w:rFonts w:cs="David"/>
          <w:sz w:val="26"/>
          <w:szCs w:val="26"/>
          <w:rtl/>
        </w:rPr>
        <w:t>תשובת המשטרה לבקשה תינתן לא יאוחר מ-21 ימים ממועד הגשתה, באופן שיובא לידיעת מגיש הבקשה בעת הגשתה.</w:t>
      </w:r>
    </w:p>
    <w:p>
      <w:pPr>
        <w:pStyle w:val="NormalWeb"/>
        <w:widowControl w:val="0"/>
        <w:numPr>
          <w:ilvl w:val="1"/>
          <w:numId w:val="14"/>
        </w:numPr>
        <w:rPr>
          <w:rFonts w:cs="David"/>
          <w:sz w:val="26"/>
          <w:szCs w:val="26"/>
          <w:rtl/>
        </w:rPr>
      </w:pPr>
      <w:r>
        <w:rPr>
          <w:rFonts w:cs="David"/>
          <w:sz w:val="26"/>
          <w:szCs w:val="26"/>
          <w:rtl/>
        </w:rPr>
        <w:t>אישור המשטרה יינתן לפי טופס 6 שבתוספת.</w:t>
      </w:r>
    </w:p>
    <w:p>
      <w:pPr>
        <w:pStyle w:val="NormalWeb"/>
        <w:widowControl w:val="0"/>
        <w:numPr>
          <w:ilvl w:val="1"/>
          <w:numId w:val="14"/>
        </w:numPr>
        <w:rPr>
          <w:rFonts w:cs="David"/>
          <w:sz w:val="26"/>
          <w:szCs w:val="26"/>
          <w:rtl/>
        </w:rPr>
      </w:pPr>
      <w:r>
        <w:rPr>
          <w:rFonts w:cs="David"/>
          <w:sz w:val="26"/>
          <w:szCs w:val="26"/>
          <w:rtl/>
        </w:rPr>
        <w:t>הודעה על סירוב המשטרה לתת אישור, תינתן לפי טופס 7 שבתוספת.</w:t>
      </w:r>
    </w:p>
    <w:p>
      <w:pPr>
        <w:pStyle w:val="NormalWeb"/>
        <w:widowControl w:val="0"/>
        <w:numPr>
          <w:ilvl w:val="0"/>
          <w:numId w:val="14"/>
        </w:numPr>
        <w:rPr>
          <w:rFonts w:cs="David"/>
          <w:b/>
          <w:bCs/>
          <w:sz w:val="26"/>
          <w:szCs w:val="26"/>
          <w:u w:val="single"/>
          <w:rtl/>
        </w:rPr>
      </w:pPr>
      <w:r>
        <w:rPr>
          <w:rFonts w:cs="David"/>
          <w:b/>
          <w:bCs/>
          <w:sz w:val="26"/>
          <w:szCs w:val="26"/>
          <w:u w:val="single"/>
          <w:rtl/>
        </w:rPr>
        <w:t>ריכוז נתונים ממוחשב</w:t>
      </w:r>
    </w:p>
    <w:p>
      <w:pPr>
        <w:pStyle w:val="NormalWeb"/>
        <w:widowControl w:val="0"/>
        <w:ind w:left="708"/>
        <w:rPr>
          <w:rFonts w:cs="David"/>
          <w:sz w:val="26"/>
          <w:szCs w:val="26"/>
          <w:rtl/>
        </w:rPr>
      </w:pPr>
      <w:r>
        <w:rPr>
          <w:rFonts w:cs="David"/>
          <w:sz w:val="26"/>
          <w:szCs w:val="26"/>
          <w:rtl/>
        </w:rPr>
        <w:t>המשטרה תנהל, לפי סעיף 3(ג) לחוק, ריכוז נתונים ממוחשב, של פרטים אלה:</w:t>
      </w:r>
    </w:p>
    <w:p>
      <w:pPr>
        <w:pStyle w:val="NormalWeb"/>
        <w:widowControl w:val="0"/>
        <w:numPr>
          <w:ilvl w:val="1"/>
          <w:numId w:val="14"/>
        </w:numPr>
        <w:rPr>
          <w:rFonts w:cs="David"/>
          <w:sz w:val="26"/>
          <w:szCs w:val="26"/>
          <w:rtl/>
        </w:rPr>
      </w:pPr>
      <w:r>
        <w:rPr>
          <w:rFonts w:cs="David"/>
          <w:sz w:val="26"/>
          <w:szCs w:val="26"/>
          <w:rtl/>
        </w:rPr>
        <w:t>פרטים מזהים של המעסיק;</w:t>
      </w:r>
    </w:p>
    <w:p>
      <w:pPr>
        <w:pStyle w:val="NormalWeb"/>
        <w:widowControl w:val="0"/>
        <w:numPr>
          <w:ilvl w:val="1"/>
          <w:numId w:val="14"/>
        </w:numPr>
        <w:rPr>
          <w:rFonts w:cs="David"/>
          <w:sz w:val="26"/>
          <w:szCs w:val="26"/>
          <w:rtl/>
        </w:rPr>
      </w:pPr>
      <w:r>
        <w:rPr>
          <w:rFonts w:cs="David"/>
          <w:sz w:val="26"/>
          <w:szCs w:val="26"/>
          <w:rtl/>
        </w:rPr>
        <w:t>פרטי המוסד שנמסרו בעת הגשת הבקשה;</w:t>
      </w:r>
    </w:p>
    <w:p>
      <w:pPr>
        <w:pStyle w:val="NormalWeb"/>
        <w:widowControl w:val="0"/>
        <w:numPr>
          <w:ilvl w:val="1"/>
          <w:numId w:val="14"/>
        </w:numPr>
        <w:rPr>
          <w:rFonts w:cs="David"/>
          <w:sz w:val="26"/>
          <w:szCs w:val="26"/>
          <w:rtl/>
        </w:rPr>
      </w:pPr>
      <w:r>
        <w:rPr>
          <w:rFonts w:cs="David"/>
          <w:sz w:val="26"/>
          <w:szCs w:val="26"/>
          <w:rtl/>
        </w:rPr>
        <w:t>פרטים מזהים של הבגיר;</w:t>
      </w:r>
    </w:p>
    <w:p>
      <w:pPr>
        <w:pStyle w:val="NormalWeb"/>
        <w:widowControl w:val="0"/>
        <w:numPr>
          <w:ilvl w:val="1"/>
          <w:numId w:val="14"/>
        </w:numPr>
        <w:rPr>
          <w:rFonts w:cs="David"/>
          <w:sz w:val="26"/>
          <w:szCs w:val="26"/>
          <w:rtl/>
        </w:rPr>
      </w:pPr>
      <w:r>
        <w:rPr>
          <w:rFonts w:cs="David"/>
          <w:sz w:val="26"/>
          <w:szCs w:val="26"/>
          <w:rtl/>
        </w:rPr>
        <w:t>מועד הגשת הבקשה;</w:t>
      </w:r>
    </w:p>
    <w:p>
      <w:pPr>
        <w:pStyle w:val="NormalWeb"/>
        <w:widowControl w:val="0"/>
        <w:numPr>
          <w:ilvl w:val="1"/>
          <w:numId w:val="14"/>
        </w:numPr>
        <w:rPr>
          <w:rFonts w:cs="David"/>
          <w:sz w:val="26"/>
          <w:szCs w:val="26"/>
          <w:rtl/>
        </w:rPr>
      </w:pPr>
      <w:r>
        <w:rPr>
          <w:rFonts w:cs="David"/>
          <w:sz w:val="26"/>
          <w:szCs w:val="26"/>
          <w:rtl/>
        </w:rPr>
        <w:t>פרטי תחנת המשטרה המטפלת בבקשה;</w:t>
      </w:r>
    </w:p>
    <w:p>
      <w:pPr>
        <w:pStyle w:val="NormalWeb"/>
        <w:widowControl w:val="0"/>
        <w:numPr>
          <w:ilvl w:val="1"/>
          <w:numId w:val="14"/>
        </w:numPr>
        <w:rPr>
          <w:rFonts w:cs="David"/>
          <w:sz w:val="26"/>
          <w:szCs w:val="26"/>
          <w:rtl/>
        </w:rPr>
      </w:pPr>
      <w:r>
        <w:rPr>
          <w:rFonts w:cs="David"/>
          <w:sz w:val="26"/>
          <w:szCs w:val="26"/>
          <w:rtl/>
        </w:rPr>
        <w:t>מועד ביצוע הבדיקה המשטרתית;</w:t>
      </w:r>
    </w:p>
    <w:p>
      <w:pPr>
        <w:pStyle w:val="NormalWeb"/>
        <w:widowControl w:val="0"/>
        <w:numPr>
          <w:ilvl w:val="1"/>
          <w:numId w:val="14"/>
        </w:numPr>
        <w:rPr>
          <w:rFonts w:cs="David"/>
          <w:sz w:val="26"/>
          <w:szCs w:val="26"/>
          <w:rtl/>
        </w:rPr>
      </w:pPr>
      <w:r>
        <w:rPr>
          <w:rFonts w:cs="David"/>
          <w:sz w:val="26"/>
          <w:szCs w:val="26"/>
          <w:rtl/>
        </w:rPr>
        <w:t>פרטים מזהים של נותן תשובת המשטרה ותוכנה;</w:t>
      </w:r>
    </w:p>
    <w:p>
      <w:pPr>
        <w:pStyle w:val="NormalWeb"/>
        <w:widowControl w:val="0"/>
        <w:numPr>
          <w:ilvl w:val="1"/>
          <w:numId w:val="14"/>
        </w:numPr>
        <w:rPr>
          <w:rFonts w:cs="David"/>
          <w:sz w:val="26"/>
          <w:szCs w:val="26"/>
          <w:rtl/>
        </w:rPr>
      </w:pPr>
      <w:r>
        <w:rPr>
          <w:rFonts w:cs="David"/>
          <w:sz w:val="26"/>
          <w:szCs w:val="26"/>
          <w:rtl/>
        </w:rPr>
        <w:t>מועד מתן התשובה, ואם נשלחה בדואר רשום - מועד שליחתה.</w:t>
      </w:r>
    </w:p>
    <w:p>
      <w:pPr>
        <w:pStyle w:val="NormalWeb"/>
        <w:widowControl w:val="0"/>
        <w:numPr>
          <w:ilvl w:val="0"/>
          <w:numId w:val="14"/>
        </w:numPr>
        <w:rPr>
          <w:rFonts w:cs="David"/>
          <w:b/>
          <w:bCs/>
          <w:sz w:val="26"/>
          <w:szCs w:val="26"/>
          <w:u w:val="single"/>
          <w:rtl/>
        </w:rPr>
      </w:pPr>
      <w:r>
        <w:rPr>
          <w:rFonts w:cs="David"/>
          <w:b/>
          <w:bCs/>
          <w:sz w:val="26"/>
          <w:szCs w:val="26"/>
          <w:u w:val="single"/>
          <w:rtl/>
        </w:rPr>
        <w:t>תחילה</w:t>
      </w:r>
    </w:p>
    <w:p>
      <w:pPr>
        <w:pStyle w:val="NormalWeb"/>
        <w:widowControl w:val="0"/>
        <w:ind w:left="708"/>
        <w:rPr>
          <w:rFonts w:cs="David"/>
          <w:sz w:val="26"/>
          <w:szCs w:val="26"/>
          <w:rtl/>
        </w:rPr>
      </w:pPr>
      <w:r>
        <w:rPr>
          <w:rFonts w:cs="David"/>
          <w:sz w:val="26"/>
          <w:szCs w:val="26"/>
          <w:rtl/>
        </w:rPr>
        <w:t>תחילתן של תקנות אלה שישים ימים מיום פרסומן.</w:t>
      </w:r>
    </w:p>
    <w:p>
      <w:pPr>
        <w:widowControl w:val="0"/>
        <w:spacing w:line="300" w:lineRule="atLeast"/>
        <w:ind w:left="-33"/>
        <w:jc w:val="right"/>
        <w:rPr>
          <w:rtl/>
        </w:rPr>
      </w:pPr>
      <w:r>
        <w:rPr>
          <w:b/>
          <w:bCs/>
          <w:sz w:val="33"/>
          <w:szCs w:val="33"/>
          <w:u w:val="single"/>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pPr>
        <w:widowControl w:val="0"/>
        <w:jc w:val="center"/>
        <w:rPr>
          <w:sz w:val="27"/>
          <w:szCs w:val="27"/>
        </w:rPr>
      </w:pPr>
      <w:r>
        <w:rPr>
          <w:b/>
          <w:bCs/>
          <w:sz w:val="33"/>
          <w:szCs w:val="33"/>
          <w:u w:val="single"/>
          <w:rtl/>
        </w:rPr>
        <w:t>תוספת</w:t>
      </w:r>
    </w:p>
    <w:p>
      <w:pPr>
        <w:widowControl w:val="0"/>
        <w:jc w:val="center"/>
        <w:rPr>
          <w:sz w:val="27"/>
          <w:szCs w:val="27"/>
        </w:rPr>
      </w:pP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pPr>
        <w:pStyle w:val="aff0"/>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pPr>
        <w:pStyle w:val="aff0"/>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מצ"</w:t>
      </w:r>
      <w:r>
        <w:rPr>
          <w:rFonts w:cs="David" w:hint="cs"/>
          <w:snapToGrid w:val="0"/>
          <w:sz w:val="19"/>
          <w:rtl/>
        </w:rPr>
        <w:t>ב:</w:t>
      </w:r>
    </w:p>
    <w:p>
      <w:pPr>
        <w:pStyle w:val="aff0"/>
        <w:widowControl w:val="0"/>
        <w:rPr>
          <w:rFonts w:cs="David"/>
          <w:snapToGrid w:val="0"/>
          <w:sz w:val="19"/>
          <w:rtl/>
        </w:rPr>
      </w:pPr>
      <w:r>
        <w:rPr>
          <w:rFonts w:cs="David"/>
          <w:snapToGrid w:val="0"/>
          <w:sz w:val="19"/>
          <w:rtl/>
        </w:rPr>
        <w:t>תעו</w:t>
      </w:r>
      <w:r>
        <w:rPr>
          <w:rFonts w:cs="David" w:hint="cs"/>
          <w:snapToGrid w:val="0"/>
          <w:sz w:val="19"/>
          <w:rtl/>
        </w:rPr>
        <w:t>דת מוסד - טופס 2.</w:t>
      </w:r>
    </w:p>
    <w:p>
      <w:pPr>
        <w:pStyle w:val="aff0"/>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pPr>
        <w:pStyle w:val="aff0"/>
        <w:widowControl w:val="0"/>
        <w:rPr>
          <w:rFonts w:cs="David"/>
          <w:snapToGrid w:val="0"/>
          <w:sz w:val="19"/>
          <w:rtl/>
        </w:rPr>
      </w:pPr>
    </w:p>
    <w:p>
      <w:pPr>
        <w:pStyle w:val="aff0"/>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pPr>
        <w:pStyle w:val="aff0"/>
        <w:widowControl w:val="0"/>
        <w:rPr>
          <w:rFonts w:cs="David"/>
          <w:snapToGrid w:val="0"/>
          <w:sz w:val="19"/>
          <w:rtl/>
        </w:rPr>
      </w:pPr>
      <w:r>
        <w:rPr>
          <w:rFonts w:cs="David"/>
          <w:snapToGrid w:val="0"/>
          <w:sz w:val="19"/>
          <w:rtl/>
        </w:rPr>
        <w:t>(תק</w:t>
      </w:r>
      <w:r>
        <w:rPr>
          <w:rFonts w:cs="David" w:hint="cs"/>
          <w:snapToGrid w:val="0"/>
          <w:sz w:val="19"/>
          <w:rtl/>
        </w:rPr>
        <w:t>נה 2(א)(1))</w:t>
      </w:r>
    </w:p>
    <w:p>
      <w:pPr>
        <w:pStyle w:val="aff0"/>
        <w:widowControl w:val="0"/>
        <w:rPr>
          <w:rFonts w:cs="David"/>
          <w:snapToGrid w:val="0"/>
          <w:sz w:val="19"/>
          <w:rtl/>
        </w:rPr>
      </w:pPr>
    </w:p>
    <w:p>
      <w:pPr>
        <w:pStyle w:val="aff0"/>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pPr>
        <w:pStyle w:val="aff0"/>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pPr>
        <w:pStyle w:val="aff0"/>
        <w:widowControl w:val="0"/>
        <w:rPr>
          <w:rFonts w:cs="David"/>
          <w:sz w:val="15"/>
          <w:szCs w:val="15"/>
          <w:rtl/>
        </w:rPr>
      </w:pPr>
    </w:p>
    <w:p>
      <w:pPr>
        <w:pStyle w:val="aff0"/>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pPr>
        <w:pStyle w:val="aff0"/>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pPr>
        <w:pStyle w:val="aff0"/>
        <w:widowControl w:val="0"/>
        <w:rPr>
          <w:rFonts w:cs="David"/>
          <w:sz w:val="15"/>
          <w:szCs w:val="15"/>
          <w:rtl/>
        </w:rPr>
      </w:pPr>
    </w:p>
    <w:p>
      <w:pPr>
        <w:pStyle w:val="aff0"/>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pPr>
        <w:pStyle w:val="aff0"/>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pPr>
        <w:pStyle w:val="aff0"/>
        <w:widowControl w:val="0"/>
        <w:tabs>
          <w:tab w:val="clear" w:pos="720"/>
          <w:tab w:val="clear" w:pos="1418"/>
          <w:tab w:val="clear" w:pos="1872"/>
          <w:tab w:val="clear" w:pos="5472"/>
          <w:tab w:val="left" w:pos="2155"/>
        </w:tabs>
        <w:rPr>
          <w:rFonts w:cs="David"/>
          <w:sz w:val="15"/>
          <w:szCs w:val="15"/>
          <w:rtl/>
        </w:rPr>
      </w:pPr>
    </w:p>
    <w:p>
      <w:pPr>
        <w:pStyle w:val="aff0"/>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pPr>
        <w:pStyle w:val="aff0"/>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jc w:val="left"/>
        <w:rPr>
          <w:rFonts w:cs="David"/>
          <w:snapToGrid w:val="0"/>
          <w:sz w:val="19"/>
          <w:rtl/>
        </w:rPr>
      </w:pPr>
      <w:r>
        <w:rPr>
          <w:rFonts w:cs="David"/>
          <w:snapToGrid w:val="0"/>
          <w:sz w:val="19"/>
          <w:rtl/>
        </w:rPr>
        <w:t>_________</w:t>
      </w:r>
    </w:p>
    <w:p>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pPr>
        <w:pStyle w:val="aff0"/>
        <w:widowControl w:val="0"/>
        <w:tabs>
          <w:tab w:val="clear" w:pos="720"/>
          <w:tab w:val="clear" w:pos="1418"/>
          <w:tab w:val="clear" w:pos="1872"/>
          <w:tab w:val="clear" w:pos="5472"/>
          <w:tab w:val="left" w:pos="4139"/>
        </w:tabs>
        <w:rPr>
          <w:rFonts w:cs="David"/>
          <w:sz w:val="15"/>
          <w:szCs w:val="15"/>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pPr>
        <w:pStyle w:val="aff0"/>
        <w:widowControl w:val="0"/>
        <w:rPr>
          <w:rFonts w:cs="David"/>
          <w:snapToGrid w:val="0"/>
          <w:sz w:val="19"/>
          <w:rtl/>
        </w:rPr>
      </w:pPr>
    </w:p>
    <w:p>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pPr>
        <w:pStyle w:val="aff0"/>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pPr>
        <w:pStyle w:val="aff0"/>
        <w:widowControl w:val="0"/>
        <w:tabs>
          <w:tab w:val="clear" w:pos="720"/>
          <w:tab w:val="clear" w:pos="1418"/>
          <w:tab w:val="clear" w:pos="1872"/>
          <w:tab w:val="clear" w:pos="5472"/>
          <w:tab w:val="left" w:pos="4139"/>
        </w:tabs>
        <w:rPr>
          <w:rFonts w:cs="David"/>
          <w:sz w:val="16"/>
          <w:szCs w:val="16"/>
          <w:rtl/>
        </w:rPr>
      </w:pPr>
      <w:r>
        <w:rPr>
          <w:rFonts w:cs="David"/>
          <w:sz w:val="16"/>
          <w:szCs w:val="16"/>
          <w:rtl/>
        </w:rPr>
        <w:tab/>
        <w:t xml:space="preserve"> </w:t>
      </w:r>
      <w:r>
        <w:rPr>
          <w:rFonts w:cs="David" w:hint="cs"/>
          <w:sz w:val="16"/>
          <w:szCs w:val="16"/>
          <w:rtl/>
        </w:rPr>
        <w:t>סוג מוסד</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 אני מצהיר כי המוסד האמור הוא מוסד כהגדרתו בחוק.</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pPr>
        <w:pStyle w:val="aff0"/>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pPr>
        <w:pStyle w:val="aff0"/>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Pr>
          <w:rFonts w:cs="David" w:hint="cs"/>
          <w:sz w:val="16"/>
          <w:szCs w:val="16"/>
          <w:rtl/>
        </w:rPr>
        <w:t>מס' זהות</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rPr>
          <w:rFonts w:cs="David"/>
          <w:snapToGrid w:val="0"/>
          <w:sz w:val="19"/>
          <w:rtl/>
        </w:rPr>
      </w:pPr>
      <w:r>
        <w:rPr>
          <w:rFonts w:cs="David"/>
          <w:snapToGrid w:val="0"/>
          <w:sz w:val="19"/>
          <w:rtl/>
        </w:rPr>
        <w:t>_________</w:t>
      </w:r>
    </w:p>
    <w:p>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pPr>
        <w:pStyle w:val="aff0"/>
        <w:widowControl w:val="0"/>
        <w:tabs>
          <w:tab w:val="clear" w:pos="720"/>
          <w:tab w:val="clear" w:pos="1418"/>
          <w:tab w:val="clear" w:pos="1872"/>
          <w:tab w:val="clear" w:pos="5472"/>
          <w:tab w:val="left" w:pos="4139"/>
        </w:tabs>
        <w:rPr>
          <w:rFonts w:cs="David"/>
          <w:snapToGrid w:val="0"/>
          <w:sz w:val="16"/>
          <w:szCs w:val="16"/>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pPr>
        <w:pStyle w:val="aff0"/>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pPr>
        <w:pStyle w:val="aff0"/>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pPr>
        <w:pStyle w:val="aff0"/>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pPr>
        <w:pStyle w:val="aff0"/>
        <w:widowControl w:val="0"/>
        <w:tabs>
          <w:tab w:val="clear" w:pos="720"/>
          <w:tab w:val="clear" w:pos="1418"/>
          <w:tab w:val="clear" w:pos="1872"/>
          <w:tab w:val="clear" w:pos="5472"/>
          <w:tab w:val="left" w:pos="680"/>
          <w:tab w:val="left" w:leader="dot" w:pos="1134"/>
        </w:tabs>
        <w:rPr>
          <w:rFonts w:cs="David"/>
          <w:spacing w:val="-4"/>
          <w:sz w:val="15"/>
          <w:szCs w:val="15"/>
          <w:rtl/>
        </w:rPr>
      </w:pPr>
    </w:p>
    <w:p>
      <w:pPr>
        <w:pStyle w:val="aff0"/>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 אני מצהיר כי המוסד האמור הוא מוסד כהגדרתו בחוק.</w:t>
      </w:r>
    </w:p>
    <w:p>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 מצ"ב ייפוי כוח מטעם הבגיר/ים וצילום תעודת זהות של הבגיר/ים.</w:t>
      </w:r>
    </w:p>
    <w:p>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531"/>
          <w:tab w:val="left" w:pos="2665"/>
        </w:tabs>
        <w:rPr>
          <w:rFonts w:cs="David"/>
          <w:sz w:val="16"/>
          <w:szCs w:val="16"/>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pPr>
        <w:pStyle w:val="aff0"/>
        <w:widowControl w:val="0"/>
        <w:rPr>
          <w:rFonts w:cs="David"/>
          <w:snapToGrid w:val="0"/>
          <w:sz w:val="19"/>
          <w:rtl/>
        </w:rPr>
      </w:pPr>
      <w:r>
        <w:rPr>
          <w:rFonts w:cs="David"/>
          <w:snapToGrid w:val="0"/>
          <w:sz w:val="19"/>
          <w:rtl/>
        </w:rPr>
        <w:t>(תק</w:t>
      </w:r>
      <w:r>
        <w:rPr>
          <w:rFonts w:cs="David" w:hint="cs"/>
          <w:snapToGrid w:val="0"/>
          <w:sz w:val="19"/>
          <w:rtl/>
        </w:rPr>
        <w:t xml:space="preserve">נה 2(א)(2)) </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pPr>
        <w:pStyle w:val="aff0"/>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pPr>
        <w:pStyle w:val="aff0"/>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pPr>
        <w:pStyle w:val="aff0"/>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pPr>
        <w:pStyle w:val="aff0"/>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pPr>
        <w:pStyle w:val="aff0"/>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pPr>
        <w:pStyle w:val="aff0"/>
        <w:widowControl w:val="0"/>
        <w:rPr>
          <w:rFonts w:cs="David"/>
          <w:b/>
          <w:bCs/>
          <w:snapToGrid w:val="0"/>
          <w:sz w:val="24"/>
          <w:szCs w:val="24"/>
          <w:rtl/>
        </w:rPr>
      </w:pP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pPr>
        <w:pStyle w:val="aff0"/>
        <w:widowControl w:val="0"/>
        <w:rPr>
          <w:rFonts w:cs="David"/>
          <w:snapToGrid w:val="0"/>
          <w:sz w:val="19"/>
          <w:rtl/>
        </w:rPr>
      </w:pPr>
      <w:r>
        <w:rPr>
          <w:rFonts w:cs="David"/>
          <w:snapToGrid w:val="0"/>
          <w:sz w:val="19"/>
          <w:rtl/>
        </w:rPr>
        <w:t>(תק</w:t>
      </w:r>
      <w:r>
        <w:rPr>
          <w:rFonts w:cs="David" w:hint="cs"/>
          <w:snapToGrid w:val="0"/>
          <w:sz w:val="19"/>
          <w:rtl/>
        </w:rPr>
        <w:t>נה 3(ג))</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widowControl w:val="0"/>
        <w:jc w:val="center"/>
        <w:rPr>
          <w:sz w:val="27"/>
          <w:szCs w:val="27"/>
        </w:rPr>
      </w:pPr>
    </w:p>
    <w:p>
      <w:pPr>
        <w:widowControl w:val="0"/>
        <w:rPr>
          <w:sz w:val="22"/>
          <w:rtl/>
        </w:rPr>
      </w:pPr>
    </w:p>
    <w:p>
      <w:pPr>
        <w:widowControl w:val="0"/>
        <w:spacing w:line="240" w:lineRule="auto"/>
        <w:ind w:left="-33"/>
        <w:jc w:val="right"/>
        <w:rPr>
          <w:rtl/>
        </w:rPr>
      </w:pPr>
      <w:r>
        <w:rPr>
          <w:b/>
          <w:bCs/>
          <w:sz w:val="30"/>
          <w:szCs w:val="30"/>
          <w:u w:val="single"/>
          <w:rtl/>
          <w:lang w:eastAsia="en-US"/>
        </w:rPr>
        <w:br w:type="page"/>
      </w:r>
      <w:r>
        <w:rPr>
          <w:rFonts w:hint="cs"/>
          <w:rtl/>
        </w:rPr>
        <w:lastRenderedPageBreak/>
        <w:t>נספח מספר 4</w:t>
      </w:r>
    </w:p>
    <w:p>
      <w:pPr>
        <w:pStyle w:val="26"/>
        <w:ind w:left="283" w:firstLine="0"/>
        <w:jc w:val="center"/>
        <w:rPr>
          <w:b/>
          <w:bCs/>
          <w:sz w:val="32"/>
          <w:szCs w:val="32"/>
          <w:rtl/>
        </w:rPr>
      </w:pPr>
      <w:r>
        <w:rPr>
          <w:rFonts w:hint="cs"/>
          <w:b/>
          <w:bCs/>
          <w:sz w:val="32"/>
          <w:szCs w:val="32"/>
          <w:rtl/>
        </w:rPr>
        <w:t xml:space="preserve">פרק אבטחת מידע וסייבר </w:t>
      </w:r>
    </w:p>
    <w:p>
      <w:pPr>
        <w:pStyle w:val="26"/>
        <w:ind w:left="283" w:firstLine="0"/>
        <w:rPr>
          <w:rtl/>
        </w:rPr>
      </w:pPr>
    </w:p>
    <w:p>
      <w:pPr>
        <w:pStyle w:val="aff2"/>
        <w:numPr>
          <w:ilvl w:val="0"/>
          <w:numId w:val="27"/>
        </w:numPr>
        <w:overflowPunct/>
        <w:adjustRightInd/>
        <w:spacing w:after="120"/>
        <w:textAlignment w:val="auto"/>
        <w:outlineLvl w:val="0"/>
        <w:rPr>
          <w:rFonts w:ascii="David" w:hAnsi="David"/>
          <w:b/>
          <w:bCs/>
          <w:rtl/>
        </w:rPr>
      </w:pPr>
      <w:r>
        <w:rPr>
          <w:rFonts w:ascii="David" w:hAnsi="David" w:hint="cs"/>
          <w:b/>
          <w:bCs/>
          <w:rtl/>
        </w:rPr>
        <w:t xml:space="preserve">מטרה </w:t>
      </w:r>
    </w:p>
    <w:p>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67" w:history="1">
        <w:r>
          <w:rPr>
            <w:rStyle w:val="Hyperlink"/>
            <w:rFonts w:ascii="David" w:hAnsi="David" w:hint="cs"/>
            <w:rtl/>
          </w:rPr>
          <w:t>משרד החינוך</w:t>
        </w:r>
      </w:hyperlink>
      <w:r>
        <w:rPr>
          <w:rFonts w:ascii="David" w:hAnsi="David"/>
          <w:rtl/>
        </w:rPr>
        <w:t xml:space="preserve">. </w:t>
      </w:r>
    </w:p>
    <w:p>
      <w:pPr>
        <w:pStyle w:val="aff2"/>
        <w:numPr>
          <w:ilvl w:val="0"/>
          <w:numId w:val="27"/>
        </w:numPr>
        <w:overflowPunct/>
        <w:autoSpaceDE/>
        <w:autoSpaceDN/>
        <w:adjustRightInd/>
        <w:spacing w:after="120"/>
        <w:textAlignment w:val="auto"/>
        <w:outlineLvl w:val="0"/>
      </w:pPr>
      <w:r>
        <w:rPr>
          <w:rFonts w:ascii="David" w:hAnsi="David" w:hint="cs"/>
          <w:b/>
          <w:bCs/>
          <w:rtl/>
        </w:rPr>
        <w:t>הגדרות</w:t>
      </w:r>
    </w:p>
    <w:p>
      <w:pPr>
        <w:pStyle w:val="aff2"/>
        <w:numPr>
          <w:ilvl w:val="1"/>
          <w:numId w:val="27"/>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pPr>
        <w:pStyle w:val="26"/>
        <w:numPr>
          <w:ilvl w:val="1"/>
          <w:numId w:val="27"/>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pPr>
        <w:pStyle w:val="26"/>
        <w:numPr>
          <w:ilvl w:val="1"/>
          <w:numId w:val="27"/>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pPr>
        <w:pStyle w:val="26"/>
        <w:numPr>
          <w:ilvl w:val="1"/>
          <w:numId w:val="27"/>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pPr>
        <w:pStyle w:val="26"/>
        <w:numPr>
          <w:ilvl w:val="1"/>
          <w:numId w:val="27"/>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pPr>
        <w:pStyle w:val="26"/>
        <w:numPr>
          <w:ilvl w:val="1"/>
          <w:numId w:val="27"/>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pPr>
        <w:pStyle w:val="26"/>
        <w:numPr>
          <w:ilvl w:val="1"/>
          <w:numId w:val="27"/>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pPr>
        <w:pStyle w:val="26"/>
        <w:numPr>
          <w:ilvl w:val="1"/>
          <w:numId w:val="27"/>
        </w:numPr>
        <w:rPr>
          <w:rtl/>
        </w:rPr>
      </w:pPr>
      <w:r>
        <w:rPr>
          <w:b/>
          <w:bCs/>
          <w:rtl/>
        </w:rPr>
        <w:t>משתמשי מאגר מידע</w:t>
      </w:r>
    </w:p>
    <w:p>
      <w:pPr>
        <w:pStyle w:val="26"/>
        <w:numPr>
          <w:ilvl w:val="2"/>
          <w:numId w:val="27"/>
        </w:numPr>
        <w:rPr>
          <w:rtl/>
        </w:rPr>
      </w:pPr>
      <w:r>
        <w:rPr>
          <w:rtl/>
        </w:rPr>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או שיש למציע גישה אליהם. </w:t>
      </w:r>
    </w:p>
    <w:p>
      <w:pPr>
        <w:pStyle w:val="26"/>
        <w:numPr>
          <w:ilvl w:val="2"/>
          <w:numId w:val="27"/>
        </w:numPr>
        <w:rPr>
          <w:rtl/>
        </w:rPr>
      </w:pPr>
      <w:r>
        <w:rPr>
          <w:rtl/>
        </w:rPr>
        <w:t>בעלי תפקידים במשרד המקבלים במסגרת תפקידם דוחות ומידע המופקים ממאגרי מידע של משרד המצויים בידי המציע או שיש להם גישה אליהם.</w:t>
      </w:r>
    </w:p>
    <w:p>
      <w:pPr>
        <w:pStyle w:val="26"/>
        <w:numPr>
          <w:ilvl w:val="2"/>
          <w:numId w:val="27"/>
        </w:numPr>
        <w:rPr>
          <w:rtl/>
        </w:rPr>
      </w:pPr>
      <w:r>
        <w:rPr>
          <w:rtl/>
        </w:rPr>
        <w:lastRenderedPageBreak/>
        <w:t>מערכות משיקות (צד שלישי) העושות שימוש במידע הנכלל במאגרי המידע של משרד והמצויים בידי המציע.</w:t>
      </w:r>
    </w:p>
    <w:p>
      <w:pPr>
        <w:pStyle w:val="26"/>
        <w:numPr>
          <w:ilvl w:val="1"/>
          <w:numId w:val="27"/>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ולשרידות המערכות הממוחשבות המכילות את מאגרי המידע.</w:t>
      </w:r>
    </w:p>
    <w:p>
      <w:pPr>
        <w:pStyle w:val="26"/>
        <w:numPr>
          <w:ilvl w:val="1"/>
          <w:numId w:val="27"/>
        </w:numPr>
        <w:ind w:hanging="565"/>
        <w:rPr>
          <w:b/>
          <w:bCs/>
          <w:rtl/>
        </w:rPr>
      </w:pPr>
      <w:r>
        <w:rPr>
          <w:b/>
          <w:bCs/>
          <w:rtl/>
        </w:rPr>
        <w:t xml:space="preserve"> 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סמארטפונים, טאבלטים וכו'.</w:t>
      </w:r>
    </w:p>
    <w:p>
      <w:pPr>
        <w:pStyle w:val="26"/>
        <w:numPr>
          <w:ilvl w:val="1"/>
          <w:numId w:val="27"/>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 xml:space="preserve">משרד לנושא אבטחת מידע </w:t>
      </w:r>
      <w:r>
        <w:rPr>
          <w:rFonts w:hint="eastAsia"/>
          <w:rtl/>
        </w:rPr>
        <w:t>וסייבר</w:t>
      </w:r>
      <w:r>
        <w:rPr>
          <w:rtl/>
        </w:rPr>
        <w:t xml:space="preserve"> במשרד.</w:t>
      </w:r>
    </w:p>
    <w:p>
      <w:pPr>
        <w:pStyle w:val="26"/>
        <w:numPr>
          <w:ilvl w:val="1"/>
          <w:numId w:val="27"/>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pPr>
        <w:pStyle w:val="26"/>
        <w:numPr>
          <w:ilvl w:val="1"/>
          <w:numId w:val="27"/>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pPr>
        <w:pStyle w:val="26"/>
        <w:numPr>
          <w:ilvl w:val="1"/>
          <w:numId w:val="27"/>
        </w:numPr>
        <w:ind w:hanging="565"/>
      </w:pPr>
      <w:r>
        <w:rPr>
          <w:b/>
          <w:bCs/>
          <w:rtl/>
        </w:rPr>
        <w:t>שלמות מידע</w:t>
      </w:r>
      <w:r>
        <w:rPr>
          <w:rtl/>
        </w:rPr>
        <w:t xml:space="preserve"> </w:t>
      </w:r>
      <w:r>
        <w:rPr>
          <w:rFonts w:hint="cs"/>
          <w:rtl/>
        </w:rPr>
        <w:t>–</w:t>
      </w:r>
      <w:r>
        <w:rPr>
          <w:rtl/>
        </w:rPr>
        <w:t xml:space="preserve"> זהות הנתונים במאגר מידע למקור שממנו נשאבו, בלא ששונו, נמסרו או הושמדו ללא רשות כדין.</w:t>
      </w:r>
    </w:p>
    <w:p>
      <w:pPr>
        <w:pStyle w:val="26"/>
        <w:numPr>
          <w:ilvl w:val="1"/>
          <w:numId w:val="27"/>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pPr>
        <w:pStyle w:val="26"/>
        <w:numPr>
          <w:ilvl w:val="1"/>
          <w:numId w:val="27"/>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pPr>
        <w:pStyle w:val="26"/>
        <w:numPr>
          <w:ilvl w:val="1"/>
          <w:numId w:val="27"/>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pPr>
        <w:pStyle w:val="26"/>
        <w:numPr>
          <w:ilvl w:val="1"/>
          <w:numId w:val="27"/>
        </w:numPr>
        <w:ind w:hanging="565"/>
        <w:rPr>
          <w:rtl/>
        </w:rPr>
      </w:pPr>
      <w:r>
        <w:rPr>
          <w:b/>
          <w:bCs/>
          <w:rtl/>
        </w:rPr>
        <w:t>מיקור חוץ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של פעולות ותהליכים המבוצעים בדרך כלל על ידי הארגון.</w:t>
      </w:r>
    </w:p>
    <w:p>
      <w:pPr>
        <w:rPr>
          <w:rFonts w:ascii="David" w:hAnsi="David"/>
          <w:b/>
          <w:bCs/>
          <w:rtl/>
        </w:rPr>
      </w:pPr>
    </w:p>
    <w:p>
      <w:pPr>
        <w:pStyle w:val="aff2"/>
        <w:ind w:left="360"/>
        <w:outlineLvl w:val="0"/>
        <w:rPr>
          <w:rFonts w:ascii="David" w:hAnsi="David"/>
          <w:b/>
          <w:bCs/>
        </w:rPr>
      </w:pPr>
    </w:p>
    <w:p>
      <w:pPr>
        <w:pStyle w:val="aff2"/>
        <w:numPr>
          <w:ilvl w:val="0"/>
          <w:numId w:val="27"/>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trPr>
          <w:trHeight w:val="585"/>
        </w:trPr>
        <w:tc>
          <w:tcPr>
            <w:tcW w:w="8515" w:type="dxa"/>
            <w:shd w:val="clear" w:color="auto" w:fill="D9D9D9" w:themeFill="background1" w:themeFillShade="D9"/>
          </w:tcPr>
          <w:p>
            <w:pPr>
              <w:pStyle w:val="26"/>
              <w:ind w:left="0" w:firstLine="0"/>
              <w:jc w:val="center"/>
              <w:rPr>
                <w:b/>
                <w:bCs/>
                <w:rtl/>
              </w:rPr>
            </w:pPr>
            <w:r>
              <w:rPr>
                <w:rFonts w:hint="cs"/>
                <w:b/>
                <w:bCs/>
                <w:rtl/>
              </w:rPr>
              <w:t>הנחיות למענה המציע</w:t>
            </w:r>
          </w:p>
        </w:tc>
      </w:tr>
      <w:tr>
        <w:trPr>
          <w:trHeight w:val="3097"/>
        </w:trPr>
        <w:tc>
          <w:tcPr>
            <w:tcW w:w="8515" w:type="dxa"/>
          </w:tcPr>
          <w:p>
            <w:pPr>
              <w:pStyle w:val="26"/>
              <w:numPr>
                <w:ilvl w:val="1"/>
                <w:numId w:val="24"/>
              </w:numPr>
              <w:rPr>
                <w:b/>
                <w:bCs/>
              </w:rPr>
            </w:pPr>
            <w:r>
              <w:rPr>
                <w:rFonts w:hint="cs"/>
                <w:rtl/>
              </w:rPr>
              <w:t xml:space="preserve">על המציע לעמוד </w:t>
            </w:r>
            <w:r>
              <w:rPr>
                <w:rFonts w:hint="cs"/>
                <w:u w:val="single"/>
                <w:rtl/>
              </w:rPr>
              <w:t>בכל</w:t>
            </w:r>
            <w:r>
              <w:rPr>
                <w:rFonts w:hint="cs"/>
                <w:rtl/>
              </w:rPr>
              <w:t xml:space="preserve"> דרישות אבטחת המידע והסייבר המופיעות בפרק זה. </w:t>
            </w:r>
          </w:p>
          <w:p>
            <w:pPr>
              <w:pStyle w:val="26"/>
              <w:numPr>
                <w:ilvl w:val="1"/>
                <w:numId w:val="2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pPr>
              <w:pStyle w:val="26"/>
              <w:numPr>
                <w:ilvl w:val="1"/>
                <w:numId w:val="24"/>
              </w:numPr>
              <w:rPr>
                <w:b/>
                <w:bCs/>
              </w:rPr>
            </w:pPr>
            <w:r>
              <w:rPr>
                <w:rFonts w:hint="cs"/>
                <w:rtl/>
              </w:rPr>
              <w:t xml:space="preserve">על המציע </w:t>
            </w:r>
            <w:r>
              <w:rPr>
                <w:rFonts w:hint="cs"/>
                <w:b/>
                <w:bCs/>
                <w:rtl/>
              </w:rPr>
              <w:t xml:space="preserve">לסמן </w:t>
            </w:r>
            <w:r>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Pr>
                <w:rFonts w:hint="cs"/>
                <w:b/>
                <w:bCs/>
                <w:rtl/>
              </w:rPr>
              <w:t xml:space="preserve"> 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pPr>
              <w:pStyle w:val="26"/>
              <w:numPr>
                <w:ilvl w:val="1"/>
                <w:numId w:val="24"/>
              </w:numPr>
            </w:pPr>
            <w:r>
              <w:rPr>
                <w:rtl/>
              </w:rPr>
              <w:lastRenderedPageBreak/>
              <w:t xml:space="preserve">בסעיפים בהם המציע נדרש לצרף </w:t>
            </w:r>
            <w:r>
              <w:rPr>
                <w:rFonts w:hint="cs"/>
                <w:rtl/>
              </w:rPr>
              <w:t>מסמכים</w:t>
            </w:r>
            <w:r>
              <w:rPr>
                <w:rtl/>
              </w:rPr>
              <w:t xml:space="preserve">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pPr>
              <w:pStyle w:val="26"/>
              <w:numPr>
                <w:ilvl w:val="1"/>
                <w:numId w:val="24"/>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trPr>
          <w:trHeight w:val="642"/>
        </w:trPr>
        <w:tc>
          <w:tcPr>
            <w:tcW w:w="10091" w:type="dxa"/>
            <w:gridSpan w:val="3"/>
            <w:shd w:val="clear" w:color="auto" w:fill="DBDBDB" w:themeFill="accent3" w:themeFillTint="66"/>
          </w:tcPr>
          <w:p>
            <w:pPr>
              <w:pStyle w:val="3-"/>
              <w:numPr>
                <w:ilvl w:val="1"/>
                <w:numId w:val="29"/>
              </w:numPr>
              <w:bidi/>
              <w:jc w:val="center"/>
              <w:rPr>
                <w:rtl/>
              </w:rPr>
            </w:pPr>
            <w:r>
              <w:rPr>
                <w:rtl/>
              </w:rPr>
              <w:t>כללי</w:t>
            </w:r>
          </w:p>
        </w:tc>
      </w:tr>
      <w:tr>
        <w:tc>
          <w:tcPr>
            <w:tcW w:w="1882" w:type="dxa"/>
          </w:tcPr>
          <w:p>
            <w:pPr>
              <w:pStyle w:val="4-"/>
              <w:numPr>
                <w:ilvl w:val="2"/>
                <w:numId w:val="29"/>
              </w:numPr>
              <w:bidi/>
              <w:rPr>
                <w:rtl/>
              </w:rPr>
            </w:pPr>
          </w:p>
        </w:tc>
        <w:tc>
          <w:tcPr>
            <w:tcW w:w="8209" w:type="dxa"/>
            <w:gridSpan w:val="2"/>
          </w:tcPr>
          <w:p>
            <w:pPr>
              <w:pStyle w:val="Normal2"/>
              <w:ind w:left="0"/>
              <w:rPr>
                <w:sz w:val="28"/>
                <w:szCs w:val="28"/>
                <w:rtl/>
              </w:rPr>
            </w:pPr>
            <w:r>
              <w:rPr>
                <w:rFonts w:ascii="David" w:eastAsiaTheme="minorHAnsi" w:hAnsi="David" w:hint="cs"/>
                <w:rtl/>
              </w:rPr>
              <w:t>ה</w:t>
            </w:r>
            <w:r>
              <w:rPr>
                <w:rFonts w:ascii="David" w:eastAsiaTheme="minorHAnsi" w:hAnsi="David"/>
                <w:rtl/>
              </w:rPr>
              <w:t xml:space="preserve">משרד רואה חשיבות רבה במימוש שיטתי ויעיל של היבטי אבטחת המידע, ובכלל זה היבטים הקשורים </w:t>
            </w:r>
            <w:r>
              <w:rPr>
                <w:rFonts w:ascii="David" w:eastAsiaTheme="minorHAnsi" w:hAnsi="David" w:hint="cs"/>
                <w:rtl/>
              </w:rPr>
              <w:t>ל</w:t>
            </w:r>
            <w:r>
              <w:rPr>
                <w:rFonts w:ascii="David" w:eastAsiaTheme="minorHAnsi" w:hAnsi="David"/>
                <w:rtl/>
              </w:rPr>
              <w:t>הגנה על מידע ול</w:t>
            </w:r>
            <w:r>
              <w:rPr>
                <w:rFonts w:ascii="David" w:eastAsiaTheme="minorHAnsi" w:hAnsi="David" w:hint="cs"/>
                <w:rtl/>
              </w:rPr>
              <w:t>עמידה ב</w:t>
            </w:r>
            <w:r>
              <w:rPr>
                <w:rFonts w:ascii="David" w:eastAsiaTheme="minorHAnsi" w:hAnsi="David"/>
                <w:rtl/>
              </w:rPr>
              <w:t>חוק הגנת הפרטיות התשמ"א-1981.</w:t>
            </w:r>
          </w:p>
        </w:tc>
      </w:tr>
      <w:tr>
        <w:tc>
          <w:tcPr>
            <w:tcW w:w="1882" w:type="dxa"/>
          </w:tcPr>
          <w:p>
            <w:pPr>
              <w:pStyle w:val="4-"/>
              <w:numPr>
                <w:ilvl w:val="2"/>
                <w:numId w:val="29"/>
              </w:numPr>
              <w:bidi/>
              <w:rPr>
                <w:rtl/>
              </w:rPr>
            </w:pPr>
          </w:p>
        </w:tc>
        <w:tc>
          <w:tcPr>
            <w:tcW w:w="8209" w:type="dxa"/>
            <w:gridSpan w:val="2"/>
          </w:tcPr>
          <w:p>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tc>
          <w:tcPr>
            <w:tcW w:w="1882" w:type="dxa"/>
          </w:tcPr>
          <w:p>
            <w:pPr>
              <w:pStyle w:val="4-"/>
              <w:numPr>
                <w:ilvl w:val="2"/>
                <w:numId w:val="29"/>
              </w:numPr>
              <w:bidi/>
              <w:rPr>
                <w:rtl/>
              </w:rPr>
            </w:pPr>
          </w:p>
        </w:tc>
        <w:tc>
          <w:tcPr>
            <w:tcW w:w="8209" w:type="dxa"/>
            <w:gridSpan w:val="2"/>
          </w:tcPr>
          <w:p>
            <w:pPr>
              <w:pStyle w:val="Normal2"/>
              <w:ind w:left="0"/>
              <w:rPr>
                <w:b/>
                <w:bCs/>
                <w:u w:val="single"/>
                <w:rtl/>
              </w:rPr>
            </w:pPr>
            <w:r>
              <w:rPr>
                <w:rFonts w:hint="eastAsia"/>
                <w:b/>
                <w:bCs/>
                <w:u w:val="single"/>
                <w:rtl/>
              </w:rPr>
              <w:t>על</w:t>
            </w:r>
            <w:r>
              <w:rPr>
                <w:b/>
                <w:bCs/>
                <w:u w:val="single"/>
                <w:rtl/>
              </w:rPr>
              <w:t xml:space="preserve"> המציע </w:t>
            </w:r>
            <w:r>
              <w:rPr>
                <w:rFonts w:hint="eastAsia"/>
                <w:b/>
                <w:bCs/>
                <w:u w:val="single"/>
                <w:rtl/>
              </w:rPr>
              <w:t>לפרט</w:t>
            </w:r>
            <w:r>
              <w:rPr>
                <w:rFonts w:hint="cs"/>
                <w:b/>
                <w:bCs/>
                <w:u w:val="single"/>
                <w:rtl/>
              </w:rPr>
              <w:t xml:space="preserve"> ולהציג</w:t>
            </w:r>
            <w:r>
              <w:rPr>
                <w:rFonts w:hint="cs"/>
                <w:rtl/>
              </w:rPr>
              <w:t xml:space="preserve"> את תקני אבטחת המידע בהם הוא עומד כגון </w:t>
            </w:r>
            <w:r>
              <w:t>ISO27001</w:t>
            </w:r>
            <w:r>
              <w:rPr>
                <w:rFonts w:hint="cs"/>
                <w:rtl/>
              </w:rPr>
              <w:t xml:space="preserve"> וכדומה.</w:t>
            </w:r>
          </w:p>
        </w:tc>
      </w:tr>
      <w:tr>
        <w:tc>
          <w:tcPr>
            <w:tcW w:w="10091" w:type="dxa"/>
            <w:gridSpan w:val="3"/>
          </w:tcPr>
          <w:p>
            <w:pPr>
              <w:pStyle w:val="Normal2"/>
              <w:ind w:left="0"/>
              <w:jc w:val="left"/>
              <w:rPr>
                <w:b/>
                <w:bCs/>
                <w:rtl/>
              </w:rPr>
            </w:pPr>
            <w:r>
              <w:rPr>
                <w:rFonts w:hint="cs"/>
                <w:b/>
                <w:bCs/>
                <w:u w:val="single"/>
                <w:rtl/>
              </w:rPr>
              <w:t>מענה המציע:</w:t>
            </w:r>
            <w:r>
              <w:rPr>
                <w:rFonts w:hint="cs"/>
                <w:b/>
                <w:bCs/>
                <w:rtl/>
              </w:rPr>
              <w:t xml:space="preserve">  </w:t>
            </w:r>
          </w:p>
          <w:p>
            <w:pPr>
              <w:pStyle w:val="Normal2"/>
              <w:ind w:left="0"/>
              <w:jc w:val="left"/>
              <w:rPr>
                <w:u w:val="single"/>
                <w:rtl/>
              </w:rPr>
            </w:pPr>
          </w:p>
        </w:tc>
      </w:tr>
      <w:tr>
        <w:trPr>
          <w:trHeight w:val="641"/>
        </w:trPr>
        <w:tc>
          <w:tcPr>
            <w:tcW w:w="1882" w:type="dxa"/>
            <w:shd w:val="clear" w:color="auto" w:fill="DBDBDB" w:themeFill="accent3" w:themeFillTint="66"/>
            <w:vAlign w:val="center"/>
          </w:tcPr>
          <w:p>
            <w:pPr>
              <w:pStyle w:val="26"/>
              <w:jc w:val="center"/>
              <w:outlineLvl w:val="0"/>
              <w:rPr>
                <w:b/>
                <w:bCs/>
                <w:rtl/>
              </w:rPr>
            </w:pPr>
            <w:r>
              <w:rPr>
                <w:rFonts w:hint="cs"/>
                <w:b/>
                <w:bCs/>
                <w:rtl/>
              </w:rPr>
              <w:t>סעיף</w:t>
            </w:r>
          </w:p>
        </w:tc>
        <w:tc>
          <w:tcPr>
            <w:tcW w:w="6656" w:type="dxa"/>
            <w:shd w:val="clear" w:color="auto" w:fill="DBDBDB" w:themeFill="accent3" w:themeFillTint="66"/>
            <w:vAlign w:val="center"/>
          </w:tcPr>
          <w:p>
            <w:pPr>
              <w:pStyle w:val="26"/>
              <w:jc w:val="center"/>
              <w:outlineLvl w:val="0"/>
              <w:rPr>
                <w:b/>
                <w:bCs/>
                <w:rtl/>
              </w:rPr>
            </w:pPr>
            <w:r>
              <w:rPr>
                <w:rFonts w:hint="eastAsia"/>
                <w:b/>
                <w:bCs/>
                <w:rtl/>
              </w:rPr>
              <w:t>דרישה</w:t>
            </w:r>
          </w:p>
        </w:tc>
        <w:tc>
          <w:tcPr>
            <w:tcW w:w="1553" w:type="dxa"/>
            <w:shd w:val="clear" w:color="auto" w:fill="DBDBDB" w:themeFill="accent3" w:themeFillTint="66"/>
          </w:tcPr>
          <w:p>
            <w:pPr>
              <w:pStyle w:val="Normal2"/>
              <w:ind w:left="0"/>
              <w:jc w:val="center"/>
              <w:rPr>
                <w:b/>
                <w:bCs/>
                <w:rtl/>
              </w:rPr>
            </w:pPr>
            <w:r>
              <w:rPr>
                <w:rFonts w:hint="cs"/>
                <w:b/>
                <w:bCs/>
                <w:rtl/>
              </w:rPr>
              <w:t xml:space="preserve">אישור המציע </w:t>
            </w:r>
          </w:p>
        </w:tc>
      </w:tr>
      <w:tr>
        <w:trPr>
          <w:trHeight w:val="641"/>
        </w:trPr>
        <w:tc>
          <w:tcPr>
            <w:tcW w:w="10091" w:type="dxa"/>
            <w:gridSpan w:val="3"/>
            <w:shd w:val="clear" w:color="auto" w:fill="DBDBDB" w:themeFill="accent3" w:themeFillTint="66"/>
            <w:vAlign w:val="center"/>
          </w:tcPr>
          <w:p>
            <w:pPr>
              <w:pStyle w:val="26"/>
              <w:numPr>
                <w:ilvl w:val="1"/>
                <w:numId w:val="29"/>
              </w:numPr>
              <w:jc w:val="center"/>
              <w:outlineLvl w:val="0"/>
              <w:rPr>
                <w:b/>
                <w:bCs/>
                <w:rtl/>
              </w:rPr>
            </w:pPr>
            <w:r>
              <w:rPr>
                <w:rFonts w:hint="cs"/>
                <w:b/>
                <w:bCs/>
                <w:rtl/>
              </w:rPr>
              <w:t>שמירה על מידע</w:t>
            </w:r>
          </w:p>
        </w:tc>
      </w:tr>
      <w:tr>
        <w:tc>
          <w:tcPr>
            <w:tcW w:w="1882" w:type="dxa"/>
          </w:tcPr>
          <w:p>
            <w:pPr>
              <w:pStyle w:val="4-"/>
              <w:numPr>
                <w:ilvl w:val="2"/>
                <w:numId w:val="29"/>
              </w:numPr>
              <w:bidi/>
              <w:rPr>
                <w:rtl/>
              </w:rPr>
            </w:pPr>
          </w:p>
        </w:tc>
        <w:tc>
          <w:tcPr>
            <w:tcW w:w="6656" w:type="dxa"/>
            <w:vAlign w:val="center"/>
          </w:tcPr>
          <w:p>
            <w:pPr>
              <w:pStyle w:val="26"/>
              <w:ind w:left="0" w:firstLine="0"/>
              <w:rPr>
                <w:rtl/>
              </w:rPr>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pPr>
              <w:pStyle w:val="Normal2"/>
              <w:ind w:left="0"/>
              <w:jc w:val="center"/>
              <w:rPr>
                <w:rtl/>
              </w:rPr>
            </w:pPr>
            <w:sdt>
              <w:sdtPr>
                <w:rPr>
                  <w:rFonts w:hint="cs"/>
                  <w:rtl/>
                </w:rPr>
                <w:id w:val="107608876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1093"/>
        </w:trPr>
        <w:tc>
          <w:tcPr>
            <w:tcW w:w="1882" w:type="dxa"/>
          </w:tcPr>
          <w:p>
            <w:pPr>
              <w:pStyle w:val="4-"/>
              <w:numPr>
                <w:ilvl w:val="2"/>
                <w:numId w:val="29"/>
              </w:numPr>
              <w:bidi/>
              <w:rPr>
                <w:rtl/>
              </w:rPr>
            </w:pPr>
          </w:p>
        </w:tc>
        <w:tc>
          <w:tcPr>
            <w:tcW w:w="6656" w:type="dxa"/>
            <w:vAlign w:val="center"/>
          </w:tcPr>
          <w:p>
            <w:pPr>
              <w:pStyle w:val="26"/>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pPr>
              <w:pStyle w:val="Normal2"/>
              <w:ind w:left="0"/>
              <w:jc w:val="center"/>
              <w:rPr>
                <w:rtl/>
              </w:rPr>
            </w:pPr>
            <w:sdt>
              <w:sdtPr>
                <w:rPr>
                  <w:rFonts w:hint="cs"/>
                  <w:rtl/>
                </w:rPr>
                <w:id w:val="-161759433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pStyle w:val="26"/>
              <w:ind w:left="0" w:firstLine="0"/>
              <w:rPr>
                <w:rtl/>
              </w:rPr>
            </w:pPr>
            <w:r>
              <w:rPr>
                <w:rFonts w:hint="cs"/>
                <w:rtl/>
              </w:rPr>
              <w:t>המציע מחויב לשמור על המידע של המשרד, לרבות מידע רגיש, בהתאם לסטנדרטים מקובלים בשוק.</w:t>
            </w:r>
          </w:p>
        </w:tc>
        <w:tc>
          <w:tcPr>
            <w:tcW w:w="1553" w:type="dxa"/>
            <w:vAlign w:val="center"/>
          </w:tcPr>
          <w:p>
            <w:pPr>
              <w:pStyle w:val="Normal2"/>
              <w:ind w:left="0"/>
              <w:jc w:val="center"/>
              <w:rPr>
                <w:rtl/>
              </w:rPr>
            </w:pPr>
            <w:sdt>
              <w:sdtPr>
                <w:rPr>
                  <w:rFonts w:hint="cs"/>
                  <w:rtl/>
                </w:rPr>
                <w:id w:val="-101823180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pStyle w:val="26"/>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pPr>
              <w:pStyle w:val="Normal2"/>
              <w:ind w:left="0"/>
              <w:jc w:val="center"/>
              <w:rPr>
                <w:rtl/>
              </w:rPr>
            </w:pPr>
            <w:sdt>
              <w:sdtPr>
                <w:rPr>
                  <w:rFonts w:hint="cs"/>
                  <w:rtl/>
                </w:rPr>
                <w:id w:val="-145131457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pStyle w:val="26"/>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vAlign w:val="center"/>
          </w:tcPr>
          <w:p>
            <w:pPr>
              <w:pStyle w:val="Normal2"/>
              <w:ind w:left="0"/>
              <w:jc w:val="center"/>
              <w:rPr>
                <w:rtl/>
              </w:rPr>
            </w:pPr>
            <w:sdt>
              <w:sdtPr>
                <w:rPr>
                  <w:rFonts w:hint="cs"/>
                  <w:rtl/>
                </w:rPr>
                <w:id w:val="-120617165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pStyle w:val="26"/>
              <w:ind w:left="0" w:firstLine="0"/>
              <w:rPr>
                <w:rtl/>
              </w:rPr>
            </w:pPr>
            <w:r>
              <w:rPr>
                <w:rFonts w:hint="cs"/>
                <w:rtl/>
              </w:rPr>
              <w:t>חל איסור מוחלט בהעברת מידע של המשרד באמצעות התקן נייד (ראה הגדרות).</w:t>
            </w:r>
          </w:p>
        </w:tc>
        <w:tc>
          <w:tcPr>
            <w:tcW w:w="1553" w:type="dxa"/>
            <w:vAlign w:val="center"/>
          </w:tcPr>
          <w:p>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pStyle w:val="26"/>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vAlign w:val="center"/>
          </w:tcPr>
          <w:p>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eastAsiaTheme="minorHAnsi" w:hAnsi="David"/>
                <w:rtl/>
                <w:lang w:eastAsia="en-US"/>
              </w:rPr>
            </w:pPr>
            <w:r>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Pr>
                <w:rFonts w:ascii="David" w:eastAsiaTheme="minorHAnsi" w:hAnsi="David" w:hint="cs"/>
                <w:rtl/>
                <w:lang w:eastAsia="en-US"/>
              </w:rPr>
              <w:t>.</w:t>
            </w:r>
          </w:p>
        </w:tc>
        <w:tc>
          <w:tcPr>
            <w:tcW w:w="1553" w:type="dxa"/>
            <w:vAlign w:val="center"/>
          </w:tcPr>
          <w:p>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המציע</w:t>
            </w:r>
            <w:r>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Pr>
                <w:rFonts w:ascii="David" w:eastAsiaTheme="minorHAnsi" w:hAnsi="David"/>
                <w:rtl/>
                <w:lang w:eastAsia="en-US"/>
              </w:rPr>
              <w:t xml:space="preserve">מידע </w:t>
            </w:r>
            <w:r>
              <w:rPr>
                <w:rFonts w:ascii="David" w:eastAsiaTheme="minorHAnsi" w:hAnsi="David" w:hint="cs"/>
                <w:rtl/>
                <w:lang w:eastAsia="en-US"/>
              </w:rPr>
              <w:t xml:space="preserve">של המשרד </w:t>
            </w:r>
            <w:r>
              <w:rPr>
                <w:rFonts w:ascii="David" w:eastAsiaTheme="minorHAnsi" w:hAnsi="David"/>
                <w:rtl/>
                <w:lang w:eastAsia="en-US"/>
              </w:rPr>
              <w:t>המצוי ביד</w:t>
            </w:r>
            <w:r>
              <w:rPr>
                <w:rFonts w:ascii="David" w:eastAsiaTheme="minorHAnsi" w:hAnsi="David" w:hint="cs"/>
                <w:rtl/>
                <w:lang w:eastAsia="en-US"/>
              </w:rPr>
              <w:t>ו,</w:t>
            </w:r>
            <w:r>
              <w:rPr>
                <w:rFonts w:ascii="David" w:eastAsiaTheme="minorHAnsi" w:hAnsi="David"/>
                <w:rtl/>
                <w:lang w:eastAsia="en-US"/>
              </w:rPr>
              <w:t xml:space="preserve"> וכן על יישום ההנחיות המופיעות במסמך זה</w:t>
            </w:r>
            <w:r>
              <w:rPr>
                <w:rFonts w:ascii="David" w:eastAsiaTheme="minorHAnsi" w:hAnsi="David"/>
                <w:lang w:eastAsia="en-US"/>
              </w:rPr>
              <w:t>.</w:t>
            </w:r>
          </w:p>
        </w:tc>
        <w:tc>
          <w:tcPr>
            <w:tcW w:w="1553" w:type="dxa"/>
            <w:vAlign w:val="center"/>
          </w:tcPr>
          <w:p>
            <w:pPr>
              <w:pStyle w:val="Normal2"/>
              <w:ind w:left="0"/>
              <w:jc w:val="center"/>
              <w:rPr>
                <w:rtl/>
              </w:rPr>
            </w:pPr>
            <w:sdt>
              <w:sdtPr>
                <w:rPr>
                  <w:rFonts w:hint="cs"/>
                  <w:rtl/>
                </w:rPr>
                <w:id w:val="101975083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המציע מחויב</w:t>
            </w:r>
            <w:r>
              <w:rPr>
                <w:rFonts w:ascii="David" w:eastAsiaTheme="minorHAnsi" w:hAnsi="David"/>
                <w:rtl/>
                <w:lang w:eastAsia="en-US"/>
              </w:rPr>
              <w:t xml:space="preserve"> </w:t>
            </w:r>
            <w:r>
              <w:rPr>
                <w:rFonts w:ascii="David" w:eastAsiaTheme="minorHAnsi" w:hAnsi="David" w:hint="cs"/>
                <w:rtl/>
                <w:lang w:eastAsia="en-US"/>
              </w:rPr>
              <w:t>להגן על</w:t>
            </w:r>
            <w:r>
              <w:rPr>
                <w:rFonts w:ascii="David" w:eastAsiaTheme="minorHAnsi" w:hAnsi="David"/>
                <w:rtl/>
                <w:lang w:eastAsia="en-US"/>
              </w:rPr>
              <w:t xml:space="preserve"> המידע </w:t>
            </w:r>
            <w:r>
              <w:rPr>
                <w:rFonts w:ascii="David" w:eastAsiaTheme="minorHAnsi" w:hAnsi="David" w:hint="cs"/>
                <w:rtl/>
                <w:lang w:eastAsia="en-US"/>
              </w:rPr>
              <w:t>של המשרד</w:t>
            </w:r>
            <w:r>
              <w:rPr>
                <w:rFonts w:ascii="David" w:eastAsiaTheme="minorHAnsi" w:hAnsi="David"/>
                <w:rtl/>
                <w:lang w:eastAsia="en-US"/>
              </w:rPr>
              <w:t xml:space="preserve"> כל עוד המידע מצוי אצלו, גם לאחר תום תקופת </w:t>
            </w:r>
            <w:r>
              <w:rPr>
                <w:rFonts w:ascii="David" w:eastAsiaTheme="minorHAnsi" w:hAnsi="David" w:hint="cs"/>
                <w:rtl/>
                <w:lang w:eastAsia="en-US"/>
              </w:rPr>
              <w:t>המכרז</w:t>
            </w:r>
            <w:r>
              <w:rPr>
                <w:rFonts w:ascii="David" w:eastAsiaTheme="minorHAnsi" w:hAnsi="David"/>
                <w:rtl/>
                <w:lang w:eastAsia="en-US"/>
              </w:rPr>
              <w:t>.</w:t>
            </w:r>
          </w:p>
        </w:tc>
        <w:tc>
          <w:tcPr>
            <w:tcW w:w="1553" w:type="dxa"/>
            <w:vAlign w:val="center"/>
          </w:tcPr>
          <w:p>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704"/>
        </w:trPr>
        <w:tc>
          <w:tcPr>
            <w:tcW w:w="10091" w:type="dxa"/>
            <w:gridSpan w:val="3"/>
            <w:shd w:val="clear" w:color="auto" w:fill="DBDBDB" w:themeFill="accent3" w:themeFillTint="66"/>
            <w:vAlign w:val="center"/>
          </w:tcPr>
          <w:p>
            <w:pPr>
              <w:pStyle w:val="26"/>
              <w:numPr>
                <w:ilvl w:val="1"/>
                <w:numId w:val="29"/>
              </w:numPr>
              <w:jc w:val="center"/>
              <w:outlineLvl w:val="0"/>
              <w:rPr>
                <w:b/>
                <w:bCs/>
                <w:rtl/>
              </w:rPr>
            </w:pPr>
            <w:r>
              <w:rPr>
                <w:rFonts w:hint="cs"/>
                <w:b/>
                <w:bCs/>
                <w:rtl/>
              </w:rPr>
              <w:t>אבטחת מידע בתשתיות הטכנולוגיות של המציע</w:t>
            </w:r>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vAlign w:val="center"/>
          </w:tcPr>
          <w:p>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rtl/>
                <w:lang w:eastAsia="en-US"/>
              </w:rPr>
              <w:t xml:space="preserve">במידה ולצורך </w:t>
            </w:r>
            <w:r>
              <w:rPr>
                <w:rFonts w:ascii="David" w:hAnsi="David" w:hint="cs"/>
                <w:rtl/>
                <w:lang w:eastAsia="en-US"/>
              </w:rPr>
              <w:t xml:space="preserve">מתן השירות </w:t>
            </w:r>
            <w:r>
              <w:rPr>
                <w:rFonts w:ascii="David" w:hAnsi="David"/>
                <w:rtl/>
                <w:lang w:eastAsia="en-US"/>
              </w:rPr>
              <w:t>נעשה שימוש במערכת</w:t>
            </w:r>
            <w:r>
              <w:rPr>
                <w:rFonts w:ascii="David" w:hAnsi="David" w:hint="cs"/>
                <w:rtl/>
                <w:lang w:eastAsia="en-US"/>
              </w:rPr>
              <w:t xml:space="preserve"> </w:t>
            </w:r>
            <w:r>
              <w:rPr>
                <w:rFonts w:ascii="David" w:hAnsi="David"/>
                <w:rtl/>
                <w:lang w:eastAsia="en-US"/>
              </w:rPr>
              <w:t>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אתר אינטרנט ייעודי</w:t>
            </w:r>
            <w:r>
              <w:rPr>
                <w:rFonts w:ascii="David" w:hAnsi="David" w:hint="cs"/>
                <w:rtl/>
                <w:lang w:eastAsia="en-US"/>
              </w:rPr>
              <w:t xml:space="preserve"> כלי דיגיטלי וכדומה</w:t>
            </w:r>
            <w:r>
              <w:rPr>
                <w:rFonts w:ascii="David" w:hAnsi="David"/>
                <w:rtl/>
                <w:lang w:eastAsia="en-US"/>
              </w:rPr>
              <w:t xml:space="preserve">, </w:t>
            </w:r>
            <w:r>
              <w:rPr>
                <w:rFonts w:ascii="David" w:hAnsi="David" w:hint="cs"/>
                <w:rtl/>
                <w:lang w:eastAsia="en-US"/>
              </w:rPr>
              <w:t>המציע נדרש לציין זאת במענה, ולאשר את הפתרון</w:t>
            </w:r>
            <w:r>
              <w:rPr>
                <w:rFonts w:ascii="David" w:hAnsi="David"/>
                <w:rtl/>
                <w:lang w:eastAsia="en-US"/>
              </w:rPr>
              <w:t xml:space="preserve"> על ידי </w:t>
            </w:r>
            <w:r>
              <w:rPr>
                <w:rFonts w:ascii="David" w:hAnsi="David" w:hint="cs"/>
                <w:rtl/>
                <w:lang w:eastAsia="en-US"/>
              </w:rPr>
              <w:t>ה</w:t>
            </w:r>
            <w:r>
              <w:rPr>
                <w:rFonts w:ascii="David" w:hAnsi="David"/>
                <w:rtl/>
                <w:lang w:eastAsia="en-US"/>
              </w:rPr>
              <w:t>משרד בהיבטי אבטחת מידע.</w:t>
            </w:r>
            <w:r>
              <w:rPr>
                <w:rFonts w:ascii="David" w:hAnsi="David" w:hint="cs"/>
                <w:rtl/>
                <w:lang w:eastAsia="en-US"/>
              </w:rPr>
              <w:t xml:space="preserve"> </w:t>
            </w:r>
          </w:p>
        </w:tc>
        <w:tc>
          <w:tcPr>
            <w:tcW w:w="1553" w:type="dxa"/>
            <w:vAlign w:val="center"/>
          </w:tcPr>
          <w:p>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vAlign w:val="center"/>
          </w:tcPr>
          <w:p>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ואמצעי גלישה מאובטחת להגנה בפני אתרים זדוניים ומתחזים (פישינג)</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vAlign w:val="center"/>
          </w:tcPr>
          <w:p>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vAlign w:val="center"/>
          </w:tcPr>
          <w:p>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r>
              <w:rPr>
                <w:rFonts w:ascii="David" w:hAnsi="David" w:hint="eastAsia"/>
                <w:rtl/>
                <w:lang w:eastAsia="en-US"/>
              </w:rPr>
              <w:t>ופישינג</w:t>
            </w:r>
            <w:r>
              <w:rPr>
                <w:rFonts w:ascii="David" w:hAnsi="David"/>
                <w:rtl/>
                <w:lang w:eastAsia="en-US"/>
              </w:rPr>
              <w:t>.</w:t>
            </w:r>
          </w:p>
        </w:tc>
        <w:tc>
          <w:tcPr>
            <w:tcW w:w="1553" w:type="dxa"/>
            <w:vAlign w:val="center"/>
          </w:tcPr>
          <w:p>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vAlign w:val="center"/>
          </w:tcPr>
          <w:p>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rPr>
            </w:pPr>
            <w:r>
              <w:rPr>
                <w:rFonts w:ascii="David" w:eastAsiaTheme="minorHAnsi" w:hAnsi="David" w:hint="cs"/>
                <w:rtl/>
                <w:lang w:eastAsia="en-US"/>
              </w:rPr>
              <w:t xml:space="preserve">על </w:t>
            </w:r>
            <w:r>
              <w:rPr>
                <w:rFonts w:ascii="David" w:eastAsiaTheme="minorHAnsi" w:hAnsi="David"/>
                <w:rtl/>
                <w:lang w:eastAsia="en-US"/>
              </w:rPr>
              <w:t>כל מחשב נייד</w:t>
            </w:r>
            <w:r>
              <w:rPr>
                <w:rFonts w:ascii="David" w:eastAsiaTheme="minorHAnsi" w:hAnsi="David" w:hint="cs"/>
                <w:rtl/>
                <w:lang w:eastAsia="en-US"/>
              </w:rPr>
              <w:t xml:space="preserve"> של המציע </w:t>
            </w:r>
            <w:r>
              <w:rPr>
                <w:rFonts w:ascii="David" w:eastAsiaTheme="minorHAnsi" w:hAnsi="David"/>
                <w:rtl/>
                <w:lang w:eastAsia="en-US"/>
              </w:rPr>
              <w:t xml:space="preserve">המחזיק </w:t>
            </w:r>
            <w:r>
              <w:rPr>
                <w:rFonts w:ascii="David" w:eastAsiaTheme="minorHAnsi" w:hAnsi="David" w:hint="cs"/>
                <w:rtl/>
                <w:lang w:eastAsia="en-US"/>
              </w:rPr>
              <w:t>מידע</w:t>
            </w:r>
            <w:r>
              <w:rPr>
                <w:rFonts w:ascii="David" w:eastAsiaTheme="minorHAnsi" w:hAnsi="David"/>
                <w:rtl/>
                <w:lang w:eastAsia="en-US"/>
              </w:rPr>
              <w:t xml:space="preserve"> </w:t>
            </w:r>
            <w:r>
              <w:rPr>
                <w:rFonts w:ascii="David" w:eastAsiaTheme="minorHAnsi" w:hAnsi="David" w:hint="cs"/>
                <w:rtl/>
                <w:lang w:eastAsia="en-US"/>
              </w:rPr>
              <w:t>ב</w:t>
            </w:r>
            <w:r>
              <w:rPr>
                <w:rFonts w:ascii="David" w:eastAsiaTheme="minorHAnsi" w:hAnsi="David"/>
                <w:rtl/>
                <w:lang w:eastAsia="en-US"/>
              </w:rPr>
              <w:t>נ</w:t>
            </w:r>
            <w:r>
              <w:rPr>
                <w:rFonts w:ascii="David" w:eastAsiaTheme="minorHAnsi" w:hAnsi="David" w:hint="cs"/>
                <w:rtl/>
                <w:lang w:eastAsia="en-US"/>
              </w:rPr>
              <w:t>ו</w:t>
            </w:r>
            <w:r>
              <w:rPr>
                <w:rFonts w:ascii="David" w:eastAsiaTheme="minorHAnsi" w:hAnsi="David"/>
                <w:rtl/>
                <w:lang w:eastAsia="en-US"/>
              </w:rPr>
              <w:t xml:space="preserve">שא </w:t>
            </w:r>
            <w:r>
              <w:rPr>
                <w:rFonts w:ascii="David" w:eastAsiaTheme="minorHAnsi" w:hAnsi="David" w:hint="cs"/>
                <w:rtl/>
                <w:lang w:eastAsia="en-US"/>
              </w:rPr>
              <w:t>ה</w:t>
            </w:r>
            <w:r>
              <w:rPr>
                <w:rFonts w:ascii="David" w:eastAsiaTheme="minorHAnsi" w:hAnsi="David"/>
                <w:rtl/>
                <w:lang w:eastAsia="en-US"/>
              </w:rPr>
              <w:t>מכרז להיות מוגן על</w:t>
            </w:r>
            <w:r>
              <w:rPr>
                <w:rFonts w:ascii="David" w:eastAsiaTheme="minorHAnsi" w:hAnsi="David" w:hint="cs"/>
                <w:rtl/>
                <w:lang w:eastAsia="en-US"/>
              </w:rPr>
              <w:t xml:space="preserve"> </w:t>
            </w:r>
            <w:r>
              <w:rPr>
                <w:rFonts w:ascii="David" w:eastAsiaTheme="minorHAnsi" w:hAnsi="David"/>
                <w:rtl/>
                <w:lang w:eastAsia="en-US"/>
              </w:rPr>
              <w:t>ידי מערכת הצפנת דיסק (</w:t>
            </w:r>
            <w:r>
              <w:rPr>
                <w:rFonts w:ascii="David" w:eastAsiaTheme="minorHAnsi" w:hAnsi="David" w:hint="cs"/>
                <w:lang w:eastAsia="en-US"/>
              </w:rPr>
              <w:t>F</w:t>
            </w:r>
            <w:r>
              <w:rPr>
                <w:rFonts w:ascii="David" w:eastAsiaTheme="minorHAnsi" w:hAnsi="David"/>
                <w:lang w:eastAsia="en-US"/>
              </w:rPr>
              <w:t>ull Disk Encryption</w:t>
            </w:r>
            <w:r>
              <w:rPr>
                <w:rFonts w:ascii="David" w:eastAsiaTheme="minorHAnsi" w:hAnsi="David"/>
                <w:rtl/>
                <w:lang w:eastAsia="en-US"/>
              </w:rPr>
              <w:t>).</w:t>
            </w:r>
          </w:p>
        </w:tc>
        <w:tc>
          <w:tcPr>
            <w:tcW w:w="1553" w:type="dxa"/>
            <w:vAlign w:val="center"/>
          </w:tcPr>
          <w:p>
            <w:pPr>
              <w:pStyle w:val="Normal2"/>
              <w:ind w:left="0"/>
              <w:jc w:val="center"/>
            </w:pPr>
            <w:sdt>
              <w:sdtPr>
                <w:rPr>
                  <w:rFonts w:hint="cs"/>
                  <w:rtl/>
                </w:rPr>
                <w:id w:val="-157936441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rPr>
            </w:pPr>
            <w:r>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vAlign w:val="center"/>
          </w:tcPr>
          <w:p>
            <w:pPr>
              <w:pStyle w:val="Normal2"/>
              <w:ind w:left="0"/>
              <w:jc w:val="center"/>
            </w:pPr>
            <w:sdt>
              <w:sdtPr>
                <w:rPr>
                  <w:rFonts w:hint="cs"/>
                  <w:rtl/>
                </w:rPr>
                <w:id w:val="39548347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 xml:space="preserve">ל ידי מומחה חיצוני </w:t>
            </w:r>
            <w:r>
              <w:rPr>
                <w:rFonts w:ascii="David" w:hAnsi="David" w:hint="cs"/>
                <w:rtl/>
              </w:rPr>
              <w:t xml:space="preserve"> לתשתיות וליישומים הטכנולוגיים הקיימים בסביבת המציע.</w:t>
            </w:r>
          </w:p>
        </w:tc>
        <w:tc>
          <w:tcPr>
            <w:tcW w:w="1553" w:type="dxa"/>
            <w:vAlign w:val="center"/>
          </w:tcPr>
          <w:p>
            <w:pPr>
              <w:pStyle w:val="Normal2"/>
              <w:ind w:left="0"/>
              <w:jc w:val="center"/>
            </w:pPr>
            <w:sdt>
              <w:sdtPr>
                <w:rPr>
                  <w:rFonts w:hint="cs"/>
                  <w:rtl/>
                </w:rPr>
                <w:id w:val="73952770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0091" w:type="dxa"/>
            <w:gridSpan w:val="3"/>
            <w:shd w:val="clear" w:color="auto" w:fill="D9D9D9" w:themeFill="background1" w:themeFillShade="D9"/>
            <w:vAlign w:val="center"/>
          </w:tcPr>
          <w:p>
            <w:pPr>
              <w:pStyle w:val="26"/>
              <w:numPr>
                <w:ilvl w:val="1"/>
                <w:numId w:val="29"/>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מבצע את עבודתו</w:t>
            </w:r>
          </w:p>
        </w:tc>
      </w:tr>
      <w:tr>
        <w:tc>
          <w:tcPr>
            <w:tcW w:w="1882" w:type="dxa"/>
          </w:tcPr>
          <w:p>
            <w:pPr>
              <w:pStyle w:val="4-"/>
              <w:numPr>
                <w:ilvl w:val="2"/>
                <w:numId w:val="29"/>
              </w:numPr>
              <w:bidi/>
              <w:rPr>
                <w:rtl/>
              </w:rPr>
            </w:pPr>
          </w:p>
        </w:tc>
        <w:tc>
          <w:tcPr>
            <w:tcW w:w="6656" w:type="dxa"/>
            <w:vAlign w:val="center"/>
          </w:tcPr>
          <w:p>
            <w:pPr>
              <w:rPr>
                <w:rFonts w:ascii="David" w:hAnsi="David"/>
                <w:rtl/>
              </w:rPr>
            </w:pPr>
            <w:r>
              <w:rPr>
                <w:rFonts w:ascii="David" w:hAnsi="David" w:hint="eastAsia"/>
                <w:rtl/>
              </w:rPr>
              <w:t>על</w:t>
            </w:r>
            <w:r>
              <w:rPr>
                <w:rFonts w:ascii="David" w:hAnsi="David"/>
                <w:rtl/>
              </w:rPr>
              <w:t xml:space="preserve"> </w:t>
            </w:r>
            <w:r>
              <w:rPr>
                <w:rFonts w:ascii="David" w:hAnsi="David" w:hint="eastAsia"/>
                <w:rtl/>
              </w:rPr>
              <w:t>המערכות</w:t>
            </w:r>
            <w:r>
              <w:rPr>
                <w:rFonts w:ascii="David" w:hAnsi="David"/>
                <w:rtl/>
              </w:rPr>
              <w:t xml:space="preserve"> </w:t>
            </w:r>
            <w:r>
              <w:rPr>
                <w:rFonts w:ascii="David" w:hAnsi="David" w:hint="cs"/>
                <w:rtl/>
              </w:rPr>
              <w:t>(</w:t>
            </w:r>
            <w:r>
              <w:rPr>
                <w:rFonts w:ascii="David" w:hAnsi="David" w:hint="eastAsia"/>
                <w:rtl/>
              </w:rPr>
              <w:t>אשר</w:t>
            </w:r>
            <w:r>
              <w:rPr>
                <w:rFonts w:ascii="David" w:hAnsi="David"/>
                <w:rtl/>
              </w:rPr>
              <w:t xml:space="preserve"> </w:t>
            </w:r>
            <w:r>
              <w:rPr>
                <w:rFonts w:ascii="David" w:hAnsi="David" w:hint="eastAsia"/>
                <w:rtl/>
              </w:rPr>
              <w:t>באמצעותם</w:t>
            </w:r>
            <w:r>
              <w:rPr>
                <w:rFonts w:ascii="David" w:hAnsi="David"/>
                <w:rtl/>
              </w:rPr>
              <w:t xml:space="preserve"> </w:t>
            </w:r>
            <w:r>
              <w:rPr>
                <w:rFonts w:ascii="David" w:hAnsi="David" w:hint="eastAsia"/>
                <w:rtl/>
              </w:rPr>
              <w:t>המציע</w:t>
            </w:r>
            <w:r>
              <w:rPr>
                <w:rFonts w:ascii="David" w:hAnsi="David"/>
                <w:rtl/>
              </w:rPr>
              <w:t xml:space="preserve"> </w:t>
            </w:r>
            <w:r>
              <w:rPr>
                <w:rFonts w:ascii="David" w:hAnsi="David" w:hint="cs"/>
                <w:rtl/>
              </w:rPr>
              <w:t xml:space="preserve">מבצע את עבודתו) חלה חובה לעמוד בדרישות </w:t>
            </w:r>
            <w:r>
              <w:rPr>
                <w:rFonts w:ascii="David" w:hAnsi="David"/>
                <w:rtl/>
              </w:rPr>
              <w:t>הבאות:</w:t>
            </w:r>
          </w:p>
        </w:tc>
        <w:tc>
          <w:tcPr>
            <w:tcW w:w="1553" w:type="dxa"/>
            <w:vAlign w:val="center"/>
          </w:tcPr>
          <w:p>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rPr>
            </w:pPr>
            <w:r>
              <w:rPr>
                <w:rFonts w:ascii="David" w:hAnsi="David" w:hint="cs"/>
                <w:rtl/>
              </w:rPr>
              <w:t>יישום מנגנון ל</w:t>
            </w:r>
            <w:r>
              <w:rPr>
                <w:rFonts w:ascii="David" w:hAnsi="David"/>
                <w:rtl/>
              </w:rPr>
              <w:t>זיהוי משתמש</w:t>
            </w:r>
            <w:r>
              <w:rPr>
                <w:rFonts w:ascii="David" w:hAnsi="David" w:hint="cs"/>
                <w:rtl/>
              </w:rPr>
              <w:t xml:space="preserve">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vAlign w:val="center"/>
          </w:tcPr>
          <w:p>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vAlign w:val="center"/>
          </w:tcPr>
          <w:p>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rPr>
            </w:pPr>
            <w:r>
              <w:rPr>
                <w:rFonts w:ascii="David" w:hAnsi="David"/>
                <w:rtl/>
              </w:rPr>
              <w:t xml:space="preserve">המציע מתחייב שגישה למערכות המידע ו/או מאגרי המידע תהיה </w:t>
            </w:r>
            <w:r>
              <w:rPr>
                <w:rFonts w:ascii="David" w:hAnsi="David" w:hint="cs"/>
                <w:rtl/>
              </w:rPr>
              <w:t>ממודרת  ברמת זיהוי משתמש</w:t>
            </w:r>
            <w:r>
              <w:rPr>
                <w:rFonts w:ascii="David" w:hAnsi="David"/>
                <w:rtl/>
              </w:rPr>
              <w:t xml:space="preserve"> ולא תורשה גישה 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vAlign w:val="center"/>
          </w:tcPr>
          <w:p>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ה</w:t>
            </w:r>
            <w:r>
              <w:rPr>
                <w:rFonts w:ascii="David" w:hAnsi="David"/>
                <w:rtl/>
              </w:rPr>
              <w:t xml:space="preserve"> </w:t>
            </w:r>
            <w:r>
              <w:rPr>
                <w:rFonts w:ascii="David" w:hAnsi="David" w:hint="cs"/>
                <w:rtl/>
              </w:rPr>
              <w:t xml:space="preserve">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vAlign w:val="center"/>
          </w:tcPr>
          <w:p>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rPr>
            </w:pPr>
            <w:r>
              <w:rPr>
                <w:rFonts w:ascii="David" w:hAnsi="David" w:hint="cs"/>
                <w:rtl/>
              </w:rPr>
              <w:t>יובהר כי במידה ונדרש לשמור מידע רגיש</w:t>
            </w:r>
            <w:r>
              <w:rPr>
                <w:rFonts w:ascii="David" w:hAnsi="David"/>
              </w:rPr>
              <w:t>/</w:t>
            </w:r>
            <w:r>
              <w:rPr>
                <w:rFonts w:ascii="David" w:hAnsi="David" w:hint="cs"/>
                <w:rtl/>
              </w:rPr>
              <w:t>חסוי במערכת אשר בה המציע מבצע את עבודתו בפרויקט, על המציע לקבל על כך אישור בכתב מהמשרד.</w:t>
            </w:r>
          </w:p>
        </w:tc>
        <w:tc>
          <w:tcPr>
            <w:tcW w:w="1553" w:type="dxa"/>
            <w:vAlign w:val="center"/>
          </w:tcPr>
          <w:p>
            <w:pPr>
              <w:pStyle w:val="Normal2"/>
              <w:ind w:left="0"/>
              <w:jc w:val="center"/>
              <w:rPr>
                <w:rtl/>
              </w:rPr>
            </w:pPr>
            <w:sdt>
              <w:sdtPr>
                <w:rPr>
                  <w:rFonts w:hint="cs"/>
                  <w:rtl/>
                </w:rPr>
                <w:id w:val="147340822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vAlign w:val="center"/>
          </w:tcPr>
          <w:p>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Pr>
                <w:rFonts w:ascii="David" w:hAnsi="David" w:hint="cs"/>
                <w:b/>
                <w:bCs/>
                <w:rtl/>
              </w:rPr>
              <w:t>בפרק אבטחת המערכת המוצעת</w:t>
            </w:r>
            <w:r>
              <w:rPr>
                <w:rFonts w:ascii="David" w:hAnsi="David" w:hint="cs"/>
                <w:rtl/>
              </w:rPr>
              <w:t xml:space="preserve"> </w:t>
            </w:r>
            <w:hyperlink r:id="rId68" w:history="1">
              <w:r>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pPr>
              <w:pStyle w:val="Normal2"/>
              <w:ind w:left="0"/>
              <w:jc w:val="center"/>
              <w:rPr>
                <w:rtl/>
              </w:rPr>
            </w:pPr>
            <w:sdt>
              <w:sdtPr>
                <w:rPr>
                  <w:rFonts w:hint="cs"/>
                  <w:rtl/>
                </w:rPr>
                <w:id w:val="53115339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707"/>
        </w:trPr>
        <w:tc>
          <w:tcPr>
            <w:tcW w:w="10091" w:type="dxa"/>
            <w:gridSpan w:val="3"/>
            <w:shd w:val="clear" w:color="auto" w:fill="DBDBDB" w:themeFill="accent3" w:themeFillTint="66"/>
            <w:vAlign w:val="center"/>
          </w:tcPr>
          <w:p>
            <w:pPr>
              <w:pStyle w:val="26"/>
              <w:numPr>
                <w:ilvl w:val="1"/>
                <w:numId w:val="29"/>
              </w:numPr>
              <w:jc w:val="center"/>
              <w:outlineLvl w:val="0"/>
              <w:rPr>
                <w:b/>
                <w:bCs/>
                <w:rtl/>
              </w:rPr>
            </w:pPr>
            <w:r>
              <w:rPr>
                <w:rFonts w:hint="cs"/>
                <w:b/>
                <w:bCs/>
                <w:rtl/>
              </w:rPr>
              <w:t xml:space="preserve">שימוש במערכות ומחשוב </w:t>
            </w:r>
            <w:r>
              <w:rPr>
                <w:b/>
                <w:bCs/>
                <w:rtl/>
              </w:rPr>
              <w:t>ענן</w:t>
            </w:r>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vAlign w:val="center"/>
          </w:tcPr>
          <w:p>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vAlign w:val="center"/>
          </w:tcPr>
          <w:p>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 xml:space="preserve">ושירותים נוספים) משירותים של לקוחות אחרים המשתמשים בשרותי </w:t>
            </w:r>
            <w:r>
              <w:rPr>
                <w:rFonts w:ascii="David" w:hAnsi="David" w:hint="cs"/>
                <w:rtl/>
              </w:rPr>
              <w:t>ה</w:t>
            </w:r>
            <w:r>
              <w:rPr>
                <w:rFonts w:ascii="David" w:hAnsi="David"/>
                <w:rtl/>
              </w:rPr>
              <w:t>ענן.</w:t>
            </w:r>
          </w:p>
        </w:tc>
        <w:tc>
          <w:tcPr>
            <w:tcW w:w="1553" w:type="dxa"/>
            <w:vAlign w:val="center"/>
          </w:tcPr>
          <w:p>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vAlign w:val="center"/>
          </w:tcPr>
          <w:p>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vAlign w:val="center"/>
          </w:tcPr>
          <w:p>
            <w:pPr>
              <w:pStyle w:val="Normal2"/>
              <w:ind w:left="0"/>
              <w:jc w:val="center"/>
            </w:pPr>
            <w:sdt>
              <w:sdtPr>
                <w:rPr>
                  <w:rFonts w:hint="cs"/>
                  <w:rtl/>
                </w:rPr>
                <w:id w:val="46955581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hint="cs"/>
                <w:rtl/>
              </w:rPr>
              <w:t>יובהר כי במידה ונדרש לשמור מידע רגיש</w:t>
            </w:r>
            <w:r>
              <w:rPr>
                <w:rFonts w:ascii="David" w:hAnsi="David"/>
              </w:rPr>
              <w:t>/</w:t>
            </w:r>
            <w:r>
              <w:rPr>
                <w:rFonts w:ascii="David" w:hAnsi="David" w:hint="cs"/>
                <w:rtl/>
              </w:rPr>
              <w:t>חסוי בענן על המציע לקבל על כך אישור בכתב מהמשרד.</w:t>
            </w:r>
          </w:p>
        </w:tc>
        <w:tc>
          <w:tcPr>
            <w:tcW w:w="1553" w:type="dxa"/>
            <w:vAlign w:val="center"/>
          </w:tcPr>
          <w:p>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704"/>
        </w:trPr>
        <w:tc>
          <w:tcPr>
            <w:tcW w:w="10091" w:type="dxa"/>
            <w:gridSpan w:val="3"/>
            <w:shd w:val="clear" w:color="auto" w:fill="DBDBDB" w:themeFill="accent3" w:themeFillTint="66"/>
            <w:vAlign w:val="center"/>
          </w:tcPr>
          <w:p>
            <w:pPr>
              <w:pStyle w:val="11"/>
              <w:numPr>
                <w:ilvl w:val="1"/>
                <w:numId w:val="29"/>
              </w:numPr>
              <w:overflowPunct/>
              <w:autoSpaceDE/>
              <w:autoSpaceDN/>
              <w:adjustRightInd/>
              <w:spacing w:before="0" w:after="0" w:line="360" w:lineRule="auto"/>
              <w:ind w:right="0"/>
              <w:jc w:val="center"/>
              <w:textAlignment w:val="auto"/>
              <w:rPr>
                <w:i/>
                <w:iCs/>
                <w:rtl/>
              </w:rPr>
            </w:pPr>
            <w:r>
              <w:rPr>
                <w:rFonts w:ascii="David" w:hAnsi="David" w:hint="cs"/>
                <w:szCs w:val="24"/>
                <w:u w:val="none"/>
                <w:rtl/>
              </w:rPr>
              <w:t>גיבויים ו</w:t>
            </w:r>
            <w:r>
              <w:rPr>
                <w:rFonts w:ascii="David" w:hAnsi="David"/>
                <w:szCs w:val="24"/>
                <w:u w:val="none"/>
                <w:rtl/>
              </w:rPr>
              <w:t>מניעת אובדן מידע</w:t>
            </w:r>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xml:space="preserve">. </w:t>
            </w:r>
          </w:p>
        </w:tc>
        <w:tc>
          <w:tcPr>
            <w:tcW w:w="1553" w:type="dxa"/>
            <w:vAlign w:val="center"/>
          </w:tcPr>
          <w:p>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r>
              <w:rPr>
                <w:rFonts w:ascii="David" w:hAnsi="David" w:hint="cs"/>
                <w:rtl/>
              </w:rPr>
              <w:t xml:space="preserve"> </w:t>
            </w:r>
          </w:p>
        </w:tc>
        <w:tc>
          <w:tcPr>
            <w:tcW w:w="1553" w:type="dxa"/>
            <w:vAlign w:val="center"/>
          </w:tcPr>
          <w:p>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13"/>
        </w:trPr>
        <w:tc>
          <w:tcPr>
            <w:tcW w:w="10091" w:type="dxa"/>
            <w:gridSpan w:val="3"/>
            <w:shd w:val="clear" w:color="auto" w:fill="DBDBDB" w:themeFill="accent3" w:themeFillTint="66"/>
            <w:vAlign w:val="center"/>
          </w:tcPr>
          <w:p>
            <w:pPr>
              <w:pStyle w:val="11"/>
              <w:numPr>
                <w:ilvl w:val="1"/>
                <w:numId w:val="29"/>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vAlign w:val="center"/>
          </w:tcPr>
          <w:p>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vAlign w:val="center"/>
          </w:tcPr>
          <w:p>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80"/>
        </w:trPr>
        <w:tc>
          <w:tcPr>
            <w:tcW w:w="10091" w:type="dxa"/>
            <w:gridSpan w:val="3"/>
            <w:shd w:val="clear" w:color="auto" w:fill="DBDBDB" w:themeFill="accent3" w:themeFillTint="66"/>
            <w:vAlign w:val="center"/>
          </w:tcPr>
          <w:p>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ההון האנושי</w:t>
            </w:r>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 xml:space="preserve">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w:t>
            </w:r>
            <w:r>
              <w:rPr>
                <w:rFonts w:ascii="David" w:hAnsi="David"/>
                <w:rtl/>
              </w:rPr>
              <w:lastRenderedPageBreak/>
              <w:t>והיקפם יתאים לדרישות המשרד, לסיווג המידע שיהיה נגיש להם ולסיכונים הצפויים.</w:t>
            </w:r>
          </w:p>
        </w:tc>
        <w:tc>
          <w:tcPr>
            <w:tcW w:w="1553" w:type="dxa"/>
            <w:vAlign w:val="center"/>
          </w:tcPr>
          <w:p>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vAlign w:val="center"/>
          </w:tcPr>
          <w:p>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vAlign w:val="center"/>
          </w:tcPr>
          <w:p>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42"/>
        </w:trPr>
        <w:tc>
          <w:tcPr>
            <w:tcW w:w="10091" w:type="dxa"/>
            <w:gridSpan w:val="3"/>
            <w:shd w:val="clear" w:color="auto" w:fill="DBDBDB" w:themeFill="accent3" w:themeFillTint="66"/>
            <w:vAlign w:val="center"/>
          </w:tcPr>
          <w:p>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 xml:space="preserve">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vAlign w:val="center"/>
          </w:tcPr>
          <w:p>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tcPr>
          <w:p>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vAlign w:val="center"/>
          </w:tcPr>
          <w:p>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tcPr>
          <w:p>
            <w:pPr>
              <w:rPr>
                <w:rFonts w:ascii="David" w:hAnsi="David"/>
                <w:rtl/>
              </w:rPr>
            </w:pPr>
            <w:r>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vAlign w:val="center"/>
          </w:tcPr>
          <w:p>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tcPr>
          <w:p>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vAlign w:val="center"/>
          </w:tcPr>
          <w:p>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9"/>
              </w:numPr>
              <w:bidi/>
              <w:rPr>
                <w:rtl/>
              </w:rPr>
            </w:pPr>
          </w:p>
        </w:tc>
        <w:tc>
          <w:tcPr>
            <w:tcW w:w="6656" w:type="dxa"/>
          </w:tcPr>
          <w:p>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vAlign w:val="center"/>
          </w:tcPr>
          <w:p>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490"/>
        </w:trPr>
        <w:tc>
          <w:tcPr>
            <w:tcW w:w="10091" w:type="dxa"/>
            <w:gridSpan w:val="3"/>
            <w:shd w:val="clear" w:color="auto" w:fill="DBDBDB" w:themeFill="accent3" w:themeFillTint="66"/>
            <w:vAlign w:val="center"/>
          </w:tcPr>
          <w:p>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vAlign w:val="center"/>
          </w:tcPr>
          <w:p>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1117"/>
        </w:trPr>
        <w:tc>
          <w:tcPr>
            <w:tcW w:w="1882" w:type="dxa"/>
          </w:tcPr>
          <w:p>
            <w:pPr>
              <w:pStyle w:val="4-"/>
              <w:numPr>
                <w:ilvl w:val="2"/>
                <w:numId w:val="29"/>
              </w:numPr>
              <w:bidi/>
              <w:rPr>
                <w:rtl/>
              </w:rPr>
            </w:pPr>
          </w:p>
        </w:tc>
        <w:tc>
          <w:tcPr>
            <w:tcW w:w="6656" w:type="dxa"/>
          </w:tcPr>
          <w:p>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vAlign w:val="center"/>
          </w:tcPr>
          <w:p>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0091" w:type="dxa"/>
            <w:gridSpan w:val="3"/>
            <w:shd w:val="clear" w:color="auto" w:fill="DBDBDB" w:themeFill="accent3" w:themeFillTint="66"/>
            <w:vAlign w:val="center"/>
          </w:tcPr>
          <w:p>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חובת דיווח</w:t>
            </w:r>
          </w:p>
        </w:tc>
      </w:tr>
      <w:tr>
        <w:trPr>
          <w:trHeight w:val="566"/>
        </w:trPr>
        <w:tc>
          <w:tcPr>
            <w:tcW w:w="1882" w:type="dxa"/>
          </w:tcPr>
          <w:p>
            <w:pPr>
              <w:pStyle w:val="4-"/>
              <w:numPr>
                <w:ilvl w:val="2"/>
                <w:numId w:val="29"/>
              </w:numPr>
              <w:bidi/>
              <w:rPr>
                <w:rtl/>
              </w:rPr>
            </w:pPr>
          </w:p>
        </w:tc>
        <w:tc>
          <w:tcPr>
            <w:tcW w:w="6656" w:type="dxa"/>
            <w:vAlign w:val="center"/>
          </w:tcPr>
          <w:p>
            <w:pPr>
              <w:pStyle w:val="36"/>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במהלך כל שעות היממה, וללא שיהוי, על כל אירוע אבטחה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vAlign w:val="center"/>
          </w:tcPr>
          <w:p>
            <w:pPr>
              <w:jc w:val="center"/>
              <w:rPr>
                <w:rtl/>
              </w:rPr>
            </w:pPr>
            <w:sdt>
              <w:sdtPr>
                <w:rPr>
                  <w:rFonts w:hint="cs"/>
                  <w:rtl/>
                </w:rPr>
                <w:id w:val="101611596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9"/>
              </w:numPr>
              <w:bidi/>
              <w:rPr>
                <w:rtl/>
              </w:rPr>
            </w:pPr>
          </w:p>
        </w:tc>
        <w:tc>
          <w:tcPr>
            <w:tcW w:w="6656" w:type="dxa"/>
            <w:vAlign w:val="center"/>
          </w:tcPr>
          <w:p>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vAlign w:val="center"/>
          </w:tcPr>
          <w:p>
            <w:pPr>
              <w:jc w:val="center"/>
              <w:rPr>
                <w:rtl/>
              </w:rPr>
            </w:pPr>
            <w:sdt>
              <w:sdtPr>
                <w:rPr>
                  <w:rFonts w:hint="cs"/>
                  <w:rtl/>
                </w:rPr>
                <w:id w:val="-113710171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9"/>
              </w:numPr>
              <w:bidi/>
              <w:rPr>
                <w:rtl/>
              </w:rPr>
            </w:pPr>
          </w:p>
        </w:tc>
        <w:tc>
          <w:tcPr>
            <w:tcW w:w="6656" w:type="dxa"/>
            <w:vAlign w:val="center"/>
          </w:tcPr>
          <w:p>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vAlign w:val="center"/>
          </w:tcPr>
          <w:p>
            <w:pPr>
              <w:jc w:val="center"/>
              <w:rPr>
                <w:rtl/>
              </w:rPr>
            </w:pPr>
            <w:sdt>
              <w:sdtPr>
                <w:rPr>
                  <w:rFonts w:hint="cs"/>
                  <w:rtl/>
                </w:rPr>
                <w:id w:val="7779987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9"/>
              </w:numPr>
              <w:bidi/>
              <w:rPr>
                <w:rtl/>
              </w:rPr>
            </w:pPr>
          </w:p>
        </w:tc>
        <w:tc>
          <w:tcPr>
            <w:tcW w:w="6656" w:type="dxa"/>
          </w:tcPr>
          <w:p>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ניסיון להחדרת קוד זדוני למערכות המציע בהן נשמר מידע של המשרד.</w:t>
            </w:r>
          </w:p>
        </w:tc>
        <w:tc>
          <w:tcPr>
            <w:tcW w:w="1553" w:type="dxa"/>
            <w:vAlign w:val="center"/>
          </w:tcPr>
          <w:p>
            <w:pPr>
              <w:jc w:val="center"/>
              <w:rPr>
                <w:rtl/>
              </w:rPr>
            </w:pPr>
            <w:sdt>
              <w:sdtPr>
                <w:rPr>
                  <w:rFonts w:hint="cs"/>
                  <w:rtl/>
                </w:rPr>
                <w:id w:val="20607547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9"/>
              </w:numPr>
              <w:bidi/>
              <w:rPr>
                <w:rtl/>
              </w:rPr>
            </w:pPr>
          </w:p>
        </w:tc>
        <w:tc>
          <w:tcPr>
            <w:tcW w:w="6656" w:type="dxa"/>
          </w:tcPr>
          <w:p>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Pr>
                <w:rFonts w:ascii="David" w:eastAsiaTheme="minorHAnsi" w:hAnsi="David"/>
                <w:b w:val="0"/>
                <w:bCs w:val="0"/>
                <w:szCs w:val="24"/>
                <w:u w:val="none"/>
                <w:rtl/>
                <w:lang w:eastAsia="en-US"/>
              </w:rPr>
              <w:t xml:space="preserve">. </w:t>
            </w:r>
          </w:p>
        </w:tc>
        <w:tc>
          <w:tcPr>
            <w:tcW w:w="1553" w:type="dxa"/>
            <w:vAlign w:val="center"/>
          </w:tcPr>
          <w:p>
            <w:pPr>
              <w:jc w:val="center"/>
              <w:rPr>
                <w:rtl/>
              </w:rPr>
            </w:pPr>
            <w:sdt>
              <w:sdtPr>
                <w:rPr>
                  <w:rFonts w:hint="cs"/>
                  <w:rtl/>
                </w:rPr>
                <w:id w:val="-114588750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9"/>
              </w:numPr>
              <w:bidi/>
              <w:rPr>
                <w:rtl/>
              </w:rPr>
            </w:pPr>
          </w:p>
        </w:tc>
        <w:tc>
          <w:tcPr>
            <w:tcW w:w="6656" w:type="dxa"/>
          </w:tcPr>
          <w:p>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pPr>
              <w:jc w:val="center"/>
              <w:rPr>
                <w:rtl/>
              </w:rPr>
            </w:pPr>
            <w:sdt>
              <w:sdtPr>
                <w:rPr>
                  <w:rFonts w:hint="cs"/>
                  <w:rtl/>
                </w:rPr>
                <w:id w:val="96014831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2"/>
                <w:numId w:val="29"/>
              </w:numPr>
              <w:bidi/>
              <w:rPr>
                <w:rtl/>
              </w:rPr>
            </w:pPr>
          </w:p>
        </w:tc>
        <w:tc>
          <w:tcPr>
            <w:tcW w:w="6656" w:type="dxa"/>
          </w:tcPr>
          <w:p>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 xml:space="preserve">למשרד </w:t>
            </w:r>
            <w:r>
              <w:rPr>
                <w:rFonts w:ascii="David" w:eastAsiaTheme="minorHAnsi" w:hAnsi="David"/>
                <w:b w:val="0"/>
                <w:bCs w:val="0"/>
                <w:szCs w:val="24"/>
                <w:u w:val="none"/>
                <w:rtl/>
                <w:lang w:eastAsia="en-US"/>
              </w:rPr>
              <w:t>על התרחשות האירוע ועל כל פרט נוסף ביחס לאירוע זה</w:t>
            </w:r>
            <w:r>
              <w:rPr>
                <w:rFonts w:ascii="David" w:eastAsiaTheme="minorHAnsi" w:hAnsi="David" w:hint="cs"/>
                <w:b w:val="0"/>
                <w:bCs w:val="0"/>
                <w:szCs w:val="24"/>
                <w:u w:val="none"/>
                <w:rtl/>
                <w:lang w:eastAsia="en-US"/>
              </w:rPr>
              <w:t xml:space="preserve"> לרבות: </w:t>
            </w:r>
            <w:r>
              <w:rPr>
                <w:rFonts w:ascii="David" w:eastAsiaTheme="minorHAnsi" w:hAnsi="David"/>
                <w:b w:val="0"/>
                <w:bCs w:val="0"/>
                <w:szCs w:val="24"/>
                <w:u w:val="none"/>
                <w:rtl/>
                <w:lang w:eastAsia="en-US"/>
              </w:rPr>
              <w:t>תיאור כללי של האירוע, אופן התרחשותו, סקירת היסטוריית האירוע</w:t>
            </w:r>
            <w:r>
              <w:rPr>
                <w:rFonts w:ascii="David" w:eastAsiaTheme="minorHAnsi" w:hAnsi="David" w:hint="cs"/>
                <w:b w:val="0"/>
                <w:bCs w:val="0"/>
                <w:szCs w:val="24"/>
                <w:u w:val="none"/>
                <w:rtl/>
                <w:lang w:eastAsia="en-US"/>
              </w:rPr>
              <w:t>, יעדי התקיפה,</w:t>
            </w:r>
            <w:r>
              <w:rPr>
                <w:rFonts w:ascii="David" w:eastAsiaTheme="minorHAnsi" w:hAnsi="David"/>
                <w:b w:val="0"/>
                <w:bCs w:val="0"/>
                <w:szCs w:val="24"/>
                <w:u w:val="none"/>
                <w:rtl/>
                <w:lang w:eastAsia="en-US"/>
              </w:rPr>
              <w:t xml:space="preserve"> המערכות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 xml:space="preserve"> ניתוח דרכי התקיפה, החולשות ששימשו את התקיפה וכל מידע 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pPr>
              <w:jc w:val="center"/>
            </w:pPr>
            <w:sdt>
              <w:sdtPr>
                <w:rPr>
                  <w:rFonts w:hint="cs"/>
                  <w:rtl/>
                </w:rPr>
                <w:id w:val="-139950755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0091" w:type="dxa"/>
            <w:gridSpan w:val="3"/>
            <w:shd w:val="clear" w:color="auto" w:fill="DBDBDB" w:themeFill="accent3" w:themeFillTint="66"/>
            <w:vAlign w:val="center"/>
          </w:tcPr>
          <w:p>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בהתאם ללוח הזמנים שיוגדר על </w:t>
            </w:r>
            <w:r>
              <w:rPr>
                <w:rFonts w:ascii="David" w:hAnsi="David" w:hint="cs"/>
                <w:rtl/>
              </w:rPr>
              <w:t>ידי המשרד</w:t>
            </w:r>
            <w:r>
              <w:rPr>
                <w:rFonts w:ascii="David" w:hAnsi="David"/>
                <w:rtl/>
              </w:rPr>
              <w:t>.</w:t>
            </w:r>
          </w:p>
        </w:tc>
        <w:tc>
          <w:tcPr>
            <w:tcW w:w="1553" w:type="dxa"/>
            <w:vAlign w:val="center"/>
          </w:tcPr>
          <w:p>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vAlign w:val="center"/>
          </w:tcPr>
          <w:p>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9"/>
              </w:numPr>
              <w:bidi/>
              <w:rPr>
                <w:rtl/>
              </w:rPr>
            </w:pPr>
          </w:p>
        </w:tc>
        <w:tc>
          <w:tcPr>
            <w:tcW w:w="6656" w:type="dxa"/>
          </w:tcPr>
          <w:p>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15"/>
        </w:trPr>
        <w:tc>
          <w:tcPr>
            <w:tcW w:w="10091" w:type="dxa"/>
            <w:gridSpan w:val="3"/>
            <w:shd w:val="clear" w:color="auto" w:fill="DBDBDB" w:themeFill="accent3" w:themeFillTint="66"/>
            <w:vAlign w:val="center"/>
          </w:tcPr>
          <w:p>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סיום התקשרות</w:t>
            </w:r>
          </w:p>
        </w:tc>
      </w:tr>
      <w:tr>
        <w:tc>
          <w:tcPr>
            <w:tcW w:w="1882" w:type="dxa"/>
          </w:tcPr>
          <w:p>
            <w:pPr>
              <w:pStyle w:val="4-"/>
              <w:numPr>
                <w:ilvl w:val="2"/>
                <w:numId w:val="29"/>
              </w:numPr>
              <w:bidi/>
              <w:rPr>
                <w:rtl/>
              </w:rPr>
            </w:pPr>
          </w:p>
        </w:tc>
        <w:tc>
          <w:tcPr>
            <w:tcW w:w="6656" w:type="dxa"/>
          </w:tcPr>
          <w:p>
            <w:pPr>
              <w:tabs>
                <w:tab w:val="left" w:pos="793"/>
              </w:tabs>
              <w:contextualSpacing/>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ופגיעויות אבטחת מידע ידועות)</w:t>
            </w:r>
            <w:r>
              <w:rPr>
                <w:rFonts w:ascii="David" w:hAnsi="David" w:hint="cs"/>
                <w:rtl/>
              </w:rPr>
              <w:t xml:space="preserve"> </w:t>
            </w:r>
            <w:r>
              <w:rPr>
                <w:rFonts w:ascii="David" w:hAnsi="David"/>
                <w:rtl/>
              </w:rPr>
              <w:t xml:space="preserve">וכן כל 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vAlign w:val="center"/>
          </w:tcPr>
          <w:p>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bl>
    <w:p>
      <w:pPr>
        <w:ind w:right="270"/>
        <w:rPr>
          <w:rFonts w:ascii="David" w:hAnsi="David"/>
          <w:rtl/>
        </w:rPr>
      </w:pPr>
    </w:p>
    <w:p>
      <w:pPr>
        <w:ind w:right="270"/>
        <w:rPr>
          <w:rFonts w:ascii="David" w:hAnsi="David"/>
          <w:rtl/>
        </w:rPr>
      </w:pPr>
    </w:p>
    <w:p>
      <w:pPr>
        <w:rPr>
          <w:rFonts w:ascii="David" w:hAnsi="David"/>
          <w:rtl/>
          <w:lang w:eastAsia="en-US"/>
        </w:rPr>
      </w:pPr>
    </w:p>
    <w:p>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pPr>
              <w:ind w:right="270"/>
              <w:jc w:val="center"/>
              <w:rPr>
                <w:rFonts w:ascii="David" w:hAnsi="David"/>
                <w:b/>
                <w:bCs/>
                <w:rtl/>
              </w:rPr>
            </w:pPr>
            <w:r>
              <w:rPr>
                <w:rFonts w:ascii="David" w:hAnsi="David"/>
                <w:b/>
                <w:bCs/>
                <w:rtl/>
              </w:rPr>
              <w:t>הצהרת המציע</w:t>
            </w:r>
          </w:p>
        </w:tc>
      </w:tr>
      <w:tr>
        <w:trPr>
          <w:trHeight w:val="1180"/>
        </w:trPr>
        <w:tc>
          <w:tcPr>
            <w:tcW w:w="8362" w:type="dxa"/>
            <w:tcBorders>
              <w:top w:val="single" w:sz="4" w:space="0" w:color="auto"/>
              <w:left w:val="single" w:sz="4" w:space="0" w:color="auto"/>
              <w:bottom w:val="single" w:sz="4" w:space="0" w:color="auto"/>
              <w:right w:val="single" w:sz="4" w:space="0" w:color="auto"/>
            </w:tcBorders>
          </w:tcPr>
          <w:p>
            <w:pPr>
              <w:rPr>
                <w:rFonts w:ascii="David" w:hAnsi="David"/>
                <w:rtl/>
              </w:rPr>
            </w:pPr>
          </w:p>
          <w:p>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pPr>
              <w:rPr>
                <w:rFonts w:ascii="David" w:hAnsi="David"/>
                <w:rtl/>
              </w:rPr>
            </w:pPr>
          </w:p>
          <w:p>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pPr>
              <w:rPr>
                <w:rFonts w:ascii="David" w:hAnsi="David"/>
                <w:rtl/>
                <w:lang w:eastAsia="en-US"/>
              </w:rPr>
            </w:pPr>
          </w:p>
          <w:p>
            <w:pPr>
              <w:rPr>
                <w:rFonts w:ascii="David" w:hAnsi="David"/>
                <w:rtl/>
                <w:lang w:eastAsia="en-US"/>
              </w:rPr>
            </w:pPr>
            <w:r>
              <w:rPr>
                <w:rFonts w:ascii="David" w:hAnsi="David"/>
                <w:rtl/>
                <w:lang w:eastAsia="en-US"/>
              </w:rPr>
              <w:t>תאריך  _______________</w:t>
            </w:r>
          </w:p>
          <w:p>
            <w:pPr>
              <w:ind w:right="270"/>
              <w:rPr>
                <w:rFonts w:ascii="David" w:hAnsi="David"/>
                <w:b/>
                <w:bCs/>
                <w:rtl/>
              </w:rPr>
            </w:pPr>
          </w:p>
        </w:tc>
      </w:tr>
    </w:tbl>
    <w:p>
      <w:pPr>
        <w:rPr>
          <w:rFonts w:ascii="David" w:hAnsi="David"/>
          <w:rtl/>
          <w:lang w:eastAsia="en-US"/>
        </w:rPr>
      </w:pPr>
    </w:p>
    <w:p>
      <w:pPr>
        <w:rPr>
          <w:rFonts w:ascii="David" w:hAnsi="David"/>
          <w:rtl/>
          <w:lang w:eastAsia="en-US"/>
        </w:rPr>
      </w:pPr>
    </w:p>
    <w:p>
      <w:pPr>
        <w:bidi w:val="0"/>
        <w:spacing w:after="160" w:line="259" w:lineRule="auto"/>
        <w:rPr>
          <w:rFonts w:ascii="David" w:hAnsi="David"/>
          <w:rtl/>
          <w:lang w:eastAsia="en-US"/>
        </w:rPr>
      </w:pPr>
      <w:r>
        <w:rPr>
          <w:rFonts w:ascii="David" w:hAnsi="David"/>
          <w:rtl/>
          <w:lang w:eastAsia="en-US"/>
        </w:rPr>
        <w:br w:type="page"/>
      </w:r>
    </w:p>
    <w:p>
      <w:pPr>
        <w:rPr>
          <w:rFonts w:ascii="David" w:hAnsi="David"/>
          <w:rtl/>
          <w:lang w:eastAsia="en-US"/>
        </w:rPr>
      </w:pPr>
    </w:p>
    <w:tbl>
      <w:tblPr>
        <w:tblStyle w:val="aff9"/>
        <w:bidiVisual/>
        <w:tblW w:w="8419" w:type="dxa"/>
        <w:tblLook w:val="04A0" w:firstRow="1" w:lastRow="0" w:firstColumn="1" w:lastColumn="0" w:noHBand="0" w:noVBand="1"/>
      </w:tblPr>
      <w:tblGrid>
        <w:gridCol w:w="8419"/>
      </w:tblGrid>
      <w:tr>
        <w:trPr>
          <w:trHeight w:val="461"/>
        </w:trPr>
        <w:tc>
          <w:tcPr>
            <w:tcW w:w="8419" w:type="dxa"/>
            <w:shd w:val="clear" w:color="auto" w:fill="DBDBDB" w:themeFill="accent3" w:themeFillTint="66"/>
            <w:vAlign w:val="center"/>
          </w:tcPr>
          <w:p>
            <w:pPr>
              <w:jc w:val="center"/>
              <w:rPr>
                <w:rFonts w:ascii="David" w:hAnsi="David"/>
                <w:rtl/>
                <w:lang w:eastAsia="en-US"/>
              </w:rPr>
            </w:pPr>
            <w:r>
              <w:rPr>
                <w:rFonts w:hint="cs"/>
                <w:b/>
                <w:bCs/>
                <w:sz w:val="28"/>
                <w:rtl/>
              </w:rPr>
              <w:t>תצהיר של ממונה אבטחת מידע של המציע בעניין אבטחת מידע</w:t>
            </w:r>
          </w:p>
        </w:tc>
      </w:tr>
      <w:tr>
        <w:trPr>
          <w:trHeight w:val="6914"/>
        </w:trPr>
        <w:tc>
          <w:tcPr>
            <w:tcW w:w="8419" w:type="dxa"/>
            <w:tcBorders>
              <w:top w:val="single" w:sz="4" w:space="0" w:color="auto"/>
              <w:left w:val="single" w:sz="4" w:space="0" w:color="auto"/>
              <w:bottom w:val="single" w:sz="4" w:space="0" w:color="auto"/>
              <w:right w:val="single" w:sz="4" w:space="0" w:color="auto"/>
            </w:tcBorders>
          </w:tcPr>
          <w:p>
            <w:pPr>
              <w:spacing w:line="300" w:lineRule="exact"/>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26"/>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Pr>
              <w:t>37/10.2024</w:t>
            </w:r>
            <w:r>
              <w:rPr>
                <w:rFonts w:ascii="David" w:hAnsi="David" w:hint="cs"/>
                <w:rtl/>
              </w:rPr>
              <w:t xml:space="preserve">                                         (שם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25"/>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25"/>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25"/>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 xml:space="preserve">החברה לא הפרה בעבר הוראות הנוגעות לאבטחת מידע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tc>
                <w:tcPr>
                  <w:tcW w:w="1652" w:type="dxa"/>
                </w:tcPr>
                <w:p>
                  <w:pPr>
                    <w:rPr>
                      <w:rFonts w:ascii="David" w:hAnsi="David"/>
                      <w:rtl/>
                    </w:rPr>
                  </w:pPr>
                </w:p>
                <w:p>
                  <w:pPr>
                    <w:rPr>
                      <w:rFonts w:ascii="David" w:hAnsi="David"/>
                    </w:rPr>
                  </w:pPr>
                </w:p>
              </w:tc>
              <w:tc>
                <w:tcPr>
                  <w:tcW w:w="3396" w:type="dxa"/>
                </w:tcPr>
                <w:p>
                  <w:pPr>
                    <w:rPr>
                      <w:rFonts w:ascii="David" w:hAnsi="David"/>
                    </w:rPr>
                  </w:pPr>
                </w:p>
              </w:tc>
              <w:tc>
                <w:tcPr>
                  <w:tcW w:w="3145" w:type="dxa"/>
                </w:tcPr>
                <w:p>
                  <w:pPr>
                    <w:rPr>
                      <w:rFonts w:ascii="David" w:hAnsi="David"/>
                    </w:rPr>
                  </w:pPr>
                </w:p>
              </w:tc>
            </w:tr>
            <w:tr>
              <w:tc>
                <w:tcPr>
                  <w:tcW w:w="1652" w:type="dxa"/>
                  <w:shd w:val="clear" w:color="auto" w:fill="DBDBDB" w:themeFill="accent3" w:themeFillTint="66"/>
                  <w:vAlign w:val="center"/>
                </w:tcPr>
                <w:p>
                  <w:pPr>
                    <w:jc w:val="center"/>
                    <w:rPr>
                      <w:rFonts w:ascii="David" w:hAnsi="David"/>
                    </w:rPr>
                  </w:pPr>
                  <w:r>
                    <w:rPr>
                      <w:rFonts w:ascii="David" w:hAnsi="David" w:hint="cs"/>
                      <w:rtl/>
                    </w:rPr>
                    <w:t>תאריך</w:t>
                  </w:r>
                </w:p>
              </w:tc>
              <w:tc>
                <w:tcPr>
                  <w:tcW w:w="3396" w:type="dxa"/>
                  <w:shd w:val="clear" w:color="auto" w:fill="DBDBDB" w:themeFill="accent3" w:themeFillTint="66"/>
                  <w:vAlign w:val="center"/>
                </w:tcPr>
                <w:p>
                  <w:pPr>
                    <w:jc w:val="center"/>
                    <w:rPr>
                      <w:rFonts w:ascii="David" w:hAnsi="David"/>
                    </w:rPr>
                  </w:pPr>
                  <w:r>
                    <w:rPr>
                      <w:rFonts w:ascii="David" w:hAnsi="David" w:hint="cs"/>
                      <w:rtl/>
                    </w:rPr>
                    <w:t xml:space="preserve">שם מלא של ממונה אבטחת המידע </w:t>
                  </w:r>
                  <w:r>
                    <w:rPr>
                      <w:rFonts w:ascii="David" w:hAnsi="David"/>
                      <w:rtl/>
                    </w:rPr>
                    <w:br/>
                  </w:r>
                  <w:r>
                    <w:rPr>
                      <w:rFonts w:ascii="David" w:hAnsi="David" w:hint="cs"/>
                      <w:rtl/>
                    </w:rPr>
                    <w:t>של המציע</w:t>
                  </w:r>
                </w:p>
              </w:tc>
              <w:tc>
                <w:tcPr>
                  <w:tcW w:w="3145" w:type="dxa"/>
                  <w:shd w:val="clear" w:color="auto" w:fill="DBDBDB" w:themeFill="accent3" w:themeFillTint="66"/>
                  <w:vAlign w:val="center"/>
                </w:tcPr>
                <w:p>
                  <w:pPr>
                    <w:jc w:val="center"/>
                    <w:rPr>
                      <w:rFonts w:ascii="David" w:hAnsi="David"/>
                      <w:rtl/>
                    </w:rPr>
                  </w:pPr>
                  <w:r>
                    <w:rPr>
                      <w:rFonts w:ascii="David" w:hAnsi="David" w:hint="cs"/>
                      <w:rtl/>
                    </w:rPr>
                    <w:t>חתימה של ממונה אבטחת המידע</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1"/>
              </w:trPr>
              <w:tc>
                <w:tcPr>
                  <w:tcW w:w="2181" w:type="dxa"/>
                  <w:shd w:val="clear" w:color="auto" w:fill="DBDBDB" w:themeFill="accent3" w:themeFillTint="66"/>
                  <w:vAlign w:val="center"/>
                </w:tcPr>
                <w:p>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p>
            <w:pPr>
              <w:spacing w:line="300" w:lineRule="exact"/>
              <w:rPr>
                <w:b/>
                <w:bCs/>
                <w:color w:val="000000"/>
                <w:u w:val="single"/>
                <w:rtl/>
              </w:rPr>
            </w:pPr>
          </w:p>
        </w:tc>
      </w:tr>
    </w:tbl>
    <w:p>
      <w:pPr>
        <w:spacing w:line="300" w:lineRule="exact"/>
        <w:rPr>
          <w:b/>
          <w:bCs/>
          <w:color w:val="000000"/>
          <w:u w:val="single"/>
          <w:rtl/>
        </w:rPr>
      </w:pPr>
    </w:p>
    <w:p>
      <w:pPr>
        <w:rPr>
          <w:rtl/>
        </w:rPr>
      </w:pPr>
    </w:p>
    <w:p>
      <w:pPr>
        <w:rPr>
          <w:rtl/>
        </w:rPr>
      </w:pPr>
    </w:p>
    <w:p>
      <w:pPr>
        <w:rPr>
          <w:rtl/>
        </w:rPr>
      </w:pPr>
    </w:p>
    <w:p>
      <w:pPr>
        <w:rPr>
          <w:rtl/>
        </w:rPr>
      </w:pPr>
    </w:p>
    <w:p>
      <w:pPr>
        <w:rPr>
          <w:rtl/>
        </w:rPr>
      </w:pPr>
    </w:p>
    <w:tbl>
      <w:tblPr>
        <w:tblStyle w:val="aff9"/>
        <w:bidiVisual/>
        <w:tblW w:w="8287" w:type="dxa"/>
        <w:tblLook w:val="04A0" w:firstRow="1" w:lastRow="0" w:firstColumn="1" w:lastColumn="0" w:noHBand="0" w:noVBand="1"/>
      </w:tblPr>
      <w:tblGrid>
        <w:gridCol w:w="8287"/>
      </w:tblGrid>
      <w:tr>
        <w:trPr>
          <w:trHeight w:val="558"/>
        </w:trPr>
        <w:tc>
          <w:tcPr>
            <w:tcW w:w="8287" w:type="dxa"/>
            <w:shd w:val="clear" w:color="auto" w:fill="DBDBDB" w:themeFill="accent3" w:themeFillTint="66"/>
            <w:vAlign w:val="center"/>
          </w:tcPr>
          <w:p>
            <w:pPr>
              <w:jc w:val="center"/>
              <w:rPr>
                <w:rtl/>
              </w:rPr>
            </w:pPr>
            <w:r>
              <w:rPr>
                <w:rFonts w:hint="cs"/>
                <w:b/>
                <w:bCs/>
                <w:sz w:val="28"/>
                <w:rtl/>
              </w:rPr>
              <w:t>תצהיר של המנהל הכללי של המציע בעניין אבטחת מידע</w:t>
            </w:r>
          </w:p>
        </w:tc>
      </w:tr>
      <w:tr>
        <w:tblPrEx>
          <w:tblBorders>
            <w:insideH w:val="none" w:sz="0" w:space="0" w:color="auto"/>
            <w:insideV w:val="none" w:sz="0" w:space="0" w:color="auto"/>
          </w:tblBorders>
        </w:tblPrEx>
        <w:trPr>
          <w:trHeight w:val="12445"/>
        </w:trPr>
        <w:tc>
          <w:tcPr>
            <w:tcW w:w="8287" w:type="dxa"/>
          </w:tcPr>
          <w:p>
            <w:pPr>
              <w:spacing w:line="300" w:lineRule="exact"/>
              <w:jc w:val="center"/>
              <w:rPr>
                <w:b/>
                <w:bCs/>
                <w:sz w:val="28"/>
                <w:u w:val="single"/>
                <w:rtl/>
              </w:rPr>
            </w:pPr>
          </w:p>
          <w:p>
            <w:pPr>
              <w:spacing w:line="300" w:lineRule="exact"/>
              <w:ind w:left="45"/>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32"/>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Pr>
              <w:t>37/10.2024</w:t>
            </w:r>
            <w:r>
              <w:rPr>
                <w:rFonts w:ascii="David" w:hAnsi="David" w:hint="cs"/>
                <w:rtl/>
              </w:rPr>
              <w:t xml:space="preserve">                             (שם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31"/>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31"/>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31"/>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hint="cs"/>
                <w:rtl/>
              </w:rPr>
              <w:t>.</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BDBDB" w:themeFill="accent3" w:themeFillTint="66"/>
                  <w:vAlign w:val="center"/>
                </w:tcPr>
                <w:p>
                  <w:pPr>
                    <w:jc w:val="center"/>
                    <w:rPr>
                      <w:rFonts w:ascii="David" w:hAnsi="David"/>
                    </w:rPr>
                  </w:pPr>
                  <w:r>
                    <w:rPr>
                      <w:rFonts w:ascii="David" w:hAnsi="David" w:hint="cs"/>
                      <w:rtl/>
                    </w:rPr>
                    <w:t>תאריך</w:t>
                  </w:r>
                </w:p>
              </w:tc>
              <w:tc>
                <w:tcPr>
                  <w:tcW w:w="4287" w:type="dxa"/>
                  <w:shd w:val="clear" w:color="auto" w:fill="DBDBDB" w:themeFill="accent3" w:themeFillTint="66"/>
                  <w:vAlign w:val="center"/>
                </w:tcPr>
                <w:p>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BDBDB" w:themeFill="accent3" w:themeFillTint="66"/>
                  <w:vAlign w:val="center"/>
                </w:tcPr>
                <w:p>
                  <w:pPr>
                    <w:jc w:val="center"/>
                    <w:rPr>
                      <w:rFonts w:ascii="David" w:hAnsi="David"/>
                      <w:rtl/>
                    </w:rPr>
                  </w:pPr>
                  <w:r>
                    <w:rPr>
                      <w:rFonts w:ascii="David" w:hAnsi="David" w:hint="cs"/>
                      <w:rtl/>
                    </w:rPr>
                    <w:t>חתימה של מנהל הכללי</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2"/>
              </w:trPr>
              <w:tc>
                <w:tcPr>
                  <w:tcW w:w="2181" w:type="dxa"/>
                  <w:shd w:val="clear" w:color="auto" w:fill="DBDBDB" w:themeFill="accent3" w:themeFillTint="66"/>
                  <w:vAlign w:val="center"/>
                </w:tcPr>
                <w:p>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tc>
      </w:tr>
    </w:tbl>
    <w:p>
      <w:pPr>
        <w:spacing w:line="300" w:lineRule="exact"/>
        <w:rPr>
          <w:b/>
          <w:bCs/>
          <w:color w:val="000000"/>
          <w:u w:val="single"/>
          <w:rtl/>
        </w:rPr>
      </w:pPr>
    </w:p>
    <w:p>
      <w:pPr>
        <w:spacing w:line="300" w:lineRule="exact"/>
        <w:rPr>
          <w:b/>
          <w:bCs/>
          <w:color w:val="000000"/>
          <w:u w:val="single"/>
          <w:rtl/>
        </w:rPr>
      </w:pPr>
    </w:p>
    <w:p>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trPr>
          <w:trHeight w:val="416"/>
        </w:trPr>
        <w:tc>
          <w:tcPr>
            <w:tcW w:w="8297" w:type="dxa"/>
            <w:shd w:val="clear" w:color="auto" w:fill="DBDBDB" w:themeFill="accent3" w:themeFillTint="66"/>
            <w:vAlign w:val="center"/>
          </w:tcPr>
          <w:p>
            <w:pPr>
              <w:jc w:val="center"/>
              <w:rPr>
                <w:rFonts w:ascii="David" w:hAnsi="David"/>
                <w:b/>
                <w:bCs/>
                <w:sz w:val="28"/>
                <w:rtl/>
              </w:rPr>
            </w:pPr>
            <w:r>
              <w:rPr>
                <w:rFonts w:ascii="David" w:hAnsi="David"/>
                <w:b/>
                <w:bCs/>
                <w:sz w:val="28"/>
                <w:rtl/>
              </w:rPr>
              <w:t>נספח הצהרת סודיות</w:t>
            </w:r>
          </w:p>
        </w:tc>
      </w:tr>
      <w:tr>
        <w:tc>
          <w:tcPr>
            <w:tcW w:w="8297" w:type="dxa"/>
          </w:tcPr>
          <w:p>
            <w:pPr>
              <w:rPr>
                <w:rFonts w:ascii="David" w:hAnsi="David"/>
                <w:b/>
                <w:bCs/>
                <w:rtl/>
              </w:rPr>
            </w:pPr>
          </w:p>
          <w:p>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pPr>
              <w:jc w:val="center"/>
              <w:rPr>
                <w:rFonts w:ascii="David" w:hAnsi="David"/>
                <w:b/>
                <w:bCs/>
                <w:u w:val="single"/>
                <w:rtl/>
              </w:rPr>
            </w:pPr>
          </w:p>
          <w:p>
            <w:pPr>
              <w:spacing w:line="276" w:lineRule="auto"/>
              <w:rPr>
                <w:rFonts w:ascii="David" w:hAnsi="David"/>
                <w:rtl/>
              </w:rPr>
            </w:pPr>
            <w:r>
              <w:rPr>
                <w:rFonts w:ascii="David" w:hAnsi="David"/>
                <w:rtl/>
              </w:rPr>
              <w:t xml:space="preserve">אל: </w:t>
            </w:r>
            <w:r>
              <w:rPr>
                <w:rFonts w:ascii="David" w:hAnsi="David" w:hint="cs"/>
                <w:rtl/>
              </w:rPr>
              <w:t>חטיבת אבטחת מידע וסייבר</w:t>
            </w:r>
            <w:r>
              <w:rPr>
                <w:rFonts w:ascii="David" w:hAnsi="David"/>
                <w:rtl/>
              </w:rPr>
              <w:t xml:space="preserve"> / משרד החינוך</w:t>
            </w:r>
          </w:p>
          <w:p>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tc>
                <w:tcPr>
                  <w:tcW w:w="4049" w:type="dxa"/>
                </w:tcPr>
                <w:p>
                  <w:pPr>
                    <w:spacing w:line="276" w:lineRule="auto"/>
                    <w:rPr>
                      <w:rFonts w:ascii="David" w:hAnsi="David"/>
                      <w:rtl/>
                    </w:rPr>
                  </w:pPr>
                  <w:r>
                    <w:rPr>
                      <w:rFonts w:ascii="David" w:hAnsi="David"/>
                      <w:rtl/>
                    </w:rPr>
                    <w:t>שם מלא ______________________</w:t>
                  </w:r>
                </w:p>
              </w:tc>
              <w:tc>
                <w:tcPr>
                  <w:tcW w:w="4247" w:type="dxa"/>
                </w:tcPr>
                <w:p>
                  <w:pPr>
                    <w:spacing w:line="276" w:lineRule="auto"/>
                    <w:rPr>
                      <w:rFonts w:ascii="David" w:hAnsi="David"/>
                      <w:rtl/>
                    </w:rPr>
                  </w:pPr>
                  <w:r>
                    <w:rPr>
                      <w:rFonts w:ascii="David" w:hAnsi="David"/>
                      <w:rtl/>
                    </w:rPr>
                    <w:t>מספר זהות______________________</w:t>
                  </w:r>
                </w:p>
              </w:tc>
            </w:tr>
            <w:tr>
              <w:tc>
                <w:tcPr>
                  <w:tcW w:w="4049" w:type="dxa"/>
                </w:tcPr>
                <w:p>
                  <w:pPr>
                    <w:spacing w:line="276" w:lineRule="auto"/>
                    <w:rPr>
                      <w:rFonts w:ascii="David" w:hAnsi="David"/>
                      <w:rtl/>
                    </w:rPr>
                  </w:pPr>
                  <w:r>
                    <w:rPr>
                      <w:rFonts w:ascii="David" w:hAnsi="David"/>
                      <w:rtl/>
                    </w:rPr>
                    <w:t>נייד ______________________</w:t>
                  </w:r>
                </w:p>
              </w:tc>
              <w:tc>
                <w:tcPr>
                  <w:tcW w:w="4247" w:type="dxa"/>
                </w:tcPr>
                <w:p>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pPr>
              <w:spacing w:line="276" w:lineRule="auto"/>
              <w:rPr>
                <w:rFonts w:ascii="David" w:hAnsi="David"/>
                <w:rtl/>
              </w:rPr>
            </w:pPr>
          </w:p>
          <w:p>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pPr>
              <w:spacing w:line="276" w:lineRule="auto"/>
              <w:rPr>
                <w:rFonts w:ascii="David" w:hAnsi="David"/>
              </w:rPr>
            </w:pPr>
            <w:r>
              <w:rPr>
                <w:rFonts w:ascii="David" w:hAnsi="David"/>
                <w:b/>
                <w:bCs/>
                <w:rtl/>
              </w:rPr>
              <w:t>והואיל</w:t>
            </w:r>
            <w:r>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pPr>
              <w:spacing w:line="276" w:lineRule="auto"/>
              <w:rPr>
                <w:rFonts w:ascii="David" w:hAnsi="David"/>
                <w:rtl/>
              </w:rPr>
            </w:pPr>
          </w:p>
          <w:p>
            <w:pPr>
              <w:spacing w:line="276" w:lineRule="auto"/>
              <w:rPr>
                <w:rFonts w:ascii="David" w:hAnsi="David"/>
                <w:b/>
                <w:bCs/>
                <w:rtl/>
              </w:rPr>
            </w:pPr>
            <w:r>
              <w:rPr>
                <w:rFonts w:ascii="David" w:hAnsi="David"/>
                <w:b/>
                <w:bCs/>
                <w:rtl/>
              </w:rPr>
              <w:t>אשר על כן, הנני מצהיר ומתחייב כדלקמן:</w:t>
            </w:r>
          </w:p>
          <w:p>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w:t>
            </w:r>
            <w:r>
              <w:rPr>
                <w:rFonts w:ascii="David" w:hAnsi="David" w:hint="cs"/>
                <w:rtl/>
              </w:rPr>
              <w:t>תי.</w:t>
            </w:r>
          </w:p>
          <w:p>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tc>
                <w:tcPr>
                  <w:tcW w:w="4495" w:type="dxa"/>
                </w:tcPr>
                <w:p>
                  <w:pPr>
                    <w:pStyle w:val="af1"/>
                    <w:jc w:val="left"/>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pPr>
              <w:rPr>
                <w:rFonts w:ascii="David" w:hAnsi="David"/>
                <w:b/>
                <w:bCs/>
                <w:u w:val="single"/>
                <w:rtl/>
              </w:rPr>
            </w:pPr>
          </w:p>
        </w:tc>
      </w:tr>
    </w:tbl>
    <w:p>
      <w:pPr>
        <w:rPr>
          <w:rFonts w:ascii="David" w:hAnsi="David"/>
          <w:b/>
          <w:bCs/>
          <w:u w:val="single"/>
          <w:rtl/>
        </w:rPr>
      </w:pPr>
    </w:p>
    <w:p>
      <w:pPr>
        <w:widowControl w:val="0"/>
        <w:spacing w:line="300" w:lineRule="atLeast"/>
        <w:textAlignment w:val="auto"/>
        <w:rPr>
          <w:b/>
          <w:bCs/>
          <w:sz w:val="30"/>
          <w:szCs w:val="30"/>
          <w:u w:val="single"/>
          <w:rtl/>
          <w:lang w:eastAsia="en-US"/>
        </w:rPr>
      </w:pPr>
    </w:p>
    <w:sectPr>
      <w:headerReference w:type="even" r:id="rId69"/>
      <w:headerReference w:type="default" r:id="rId70"/>
      <w:footerReference w:type="default" r:id="rId7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
        <w:separator/>
      </w:r>
    </w:p>
    <w:p/>
  </w:endnote>
  <w:endnote w:type="continuationSeparator" w:id="0">
    <w:p>
      <w:r>
        <w:continuationSeparator/>
      </w:r>
    </w:p>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MS Sans Serif">
    <w:altName w:val="Arial"/>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
        <w:separator/>
      </w:r>
    </w:p>
    <w:p/>
  </w:footnote>
  <w:footnote w:type="continuationSeparator" w:id="0">
    <w:p>
      <w:r>
        <w:continuationSeparator/>
      </w:r>
    </w:p>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Pr>
        <w:rStyle w:val="ad"/>
        <w:noProof/>
        <w:sz w:val="22"/>
        <w:szCs w:val="22"/>
        <w:rtl/>
      </w:rPr>
      <w:t>54</w:t>
    </w:r>
    <w:r>
      <w:rPr>
        <w:rStyle w:val="ad"/>
        <w:sz w:val="22"/>
        <w:szCs w:val="22"/>
      </w:rPr>
      <w:fldChar w:fldCharType="end"/>
    </w:r>
  </w:p>
  <w:p>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161A4580"/>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rPr>
    </w:lvl>
    <w:lvl w:ilvl="3">
      <w:start w:val="1"/>
      <w:numFmt w:val="hebrew1"/>
      <w:lvlText w:val="%4."/>
      <w:lvlJc w:val="left"/>
      <w:pPr>
        <w:tabs>
          <w:tab w:val="num" w:pos="2808"/>
        </w:tabs>
        <w:ind w:left="2808" w:right="3600" w:hanging="540"/>
      </w:pPr>
      <w:rPr>
        <w:rFonts w:hint="cs"/>
        <w:b/>
        <w:bCs/>
        <w:i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C00FEA"/>
    <w:multiLevelType w:val="multilevel"/>
    <w:tmpl w:val="83D2720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808"/>
        </w:tabs>
        <w:ind w:left="2808" w:hanging="540"/>
      </w:pPr>
      <w:rPr>
        <w:rFonts w:hint="cs"/>
        <w:b/>
        <w:bCs/>
        <w:iCs w:val="0"/>
      </w:rPr>
    </w:lvl>
    <w:lvl w:ilvl="4">
      <w:start w:val="1"/>
      <w:numFmt w:val="decimal"/>
      <w:lvlText w:val="(%5)"/>
      <w:lvlJc w:val="left"/>
      <w:pPr>
        <w:tabs>
          <w:tab w:val="num" w:pos="3960"/>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1F3A1EE9"/>
    <w:multiLevelType w:val="hybridMultilevel"/>
    <w:tmpl w:val="DBE20C6C"/>
    <w:lvl w:ilvl="0" w:tplc="4EF682B0">
      <w:start w:val="1"/>
      <w:numFmt w:val="hebrew1"/>
      <w:lvlText w:val="%1."/>
      <w:lvlJc w:val="left"/>
      <w:pPr>
        <w:tabs>
          <w:tab w:val="num" w:pos="2835"/>
        </w:tabs>
        <w:ind w:left="2835" w:right="2835" w:hanging="567"/>
      </w:pPr>
      <w:rPr>
        <w:rFonts w:hint="default"/>
        <w:bCs/>
        <w:iCs w:val="0"/>
      </w:rPr>
    </w:lvl>
    <w:lvl w:ilvl="1" w:tplc="15AAA028" w:tentative="1">
      <w:start w:val="1"/>
      <w:numFmt w:val="lowerLetter"/>
      <w:lvlText w:val="%2."/>
      <w:lvlJc w:val="left"/>
      <w:pPr>
        <w:tabs>
          <w:tab w:val="num" w:pos="1440"/>
        </w:tabs>
        <w:ind w:left="1440" w:right="1440" w:hanging="360"/>
      </w:pPr>
    </w:lvl>
    <w:lvl w:ilvl="2" w:tplc="986C0F4A" w:tentative="1">
      <w:start w:val="1"/>
      <w:numFmt w:val="lowerRoman"/>
      <w:lvlText w:val="%3."/>
      <w:lvlJc w:val="right"/>
      <w:pPr>
        <w:tabs>
          <w:tab w:val="num" w:pos="2160"/>
        </w:tabs>
        <w:ind w:left="2160" w:right="2160" w:hanging="180"/>
      </w:pPr>
    </w:lvl>
    <w:lvl w:ilvl="3" w:tplc="E3804A8C">
      <w:start w:val="1"/>
      <w:numFmt w:val="decimal"/>
      <w:lvlText w:val="%4."/>
      <w:lvlJc w:val="left"/>
      <w:pPr>
        <w:tabs>
          <w:tab w:val="num" w:pos="2880"/>
        </w:tabs>
        <w:ind w:left="2880" w:right="2880" w:hanging="360"/>
      </w:pPr>
    </w:lvl>
    <w:lvl w:ilvl="4" w:tplc="2F24F0E4">
      <w:start w:val="1"/>
      <w:numFmt w:val="hebrew1"/>
      <w:lvlText w:val="%5."/>
      <w:lvlJc w:val="left"/>
      <w:pPr>
        <w:tabs>
          <w:tab w:val="num" w:pos="2835"/>
        </w:tabs>
        <w:ind w:left="2835" w:right="2835" w:hanging="567"/>
      </w:pPr>
      <w:rPr>
        <w:rFonts w:hint="default"/>
        <w:bCs/>
        <w:iCs w:val="0"/>
      </w:rPr>
    </w:lvl>
    <w:lvl w:ilvl="5" w:tplc="131EB1E0" w:tentative="1">
      <w:start w:val="1"/>
      <w:numFmt w:val="lowerRoman"/>
      <w:lvlText w:val="%6."/>
      <w:lvlJc w:val="right"/>
      <w:pPr>
        <w:tabs>
          <w:tab w:val="num" w:pos="4320"/>
        </w:tabs>
        <w:ind w:left="4320" w:right="4320" w:hanging="180"/>
      </w:pPr>
    </w:lvl>
    <w:lvl w:ilvl="6" w:tplc="6B8C78D8" w:tentative="1">
      <w:start w:val="1"/>
      <w:numFmt w:val="decimal"/>
      <w:lvlText w:val="%7."/>
      <w:lvlJc w:val="left"/>
      <w:pPr>
        <w:tabs>
          <w:tab w:val="num" w:pos="5040"/>
        </w:tabs>
        <w:ind w:left="5040" w:right="5040" w:hanging="360"/>
      </w:pPr>
    </w:lvl>
    <w:lvl w:ilvl="7" w:tplc="859A045E" w:tentative="1">
      <w:start w:val="1"/>
      <w:numFmt w:val="lowerLetter"/>
      <w:lvlText w:val="%8."/>
      <w:lvlJc w:val="left"/>
      <w:pPr>
        <w:tabs>
          <w:tab w:val="num" w:pos="5760"/>
        </w:tabs>
        <w:ind w:left="5760" w:right="5760" w:hanging="360"/>
      </w:pPr>
    </w:lvl>
    <w:lvl w:ilvl="8" w:tplc="F41A238C" w:tentative="1">
      <w:start w:val="1"/>
      <w:numFmt w:val="lowerRoman"/>
      <w:lvlText w:val="%9."/>
      <w:lvlJc w:val="right"/>
      <w:pPr>
        <w:tabs>
          <w:tab w:val="num" w:pos="6480"/>
        </w:tabs>
        <w:ind w:left="6480" w:right="6480" w:hanging="180"/>
      </w:pPr>
    </w:lvl>
  </w:abstractNum>
  <w:abstractNum w:abstractNumId="9"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2F0D305C"/>
    <w:multiLevelType w:val="hybridMultilevel"/>
    <w:tmpl w:val="C0C4ABB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BD945426">
      <w:start w:val="1"/>
      <w:numFmt w:val="hebrew1"/>
      <w:lvlText w:val="%3."/>
      <w:lvlJc w:val="left"/>
      <w:pPr>
        <w:ind w:left="3047" w:hanging="360"/>
      </w:pPr>
      <w:rPr>
        <w:rFonts w:hint="default"/>
        <w:b w:val="0"/>
        <w:bCs/>
      </w:rPr>
    </w:lvl>
    <w:lvl w:ilvl="3" w:tplc="3C9C8724">
      <w:start w:val="1"/>
      <w:numFmt w:val="hebrew1"/>
      <w:lvlText w:val="%4."/>
      <w:lvlJc w:val="left"/>
      <w:pPr>
        <w:ind w:left="3587" w:hanging="360"/>
      </w:pPr>
      <w:rPr>
        <w:rFonts w:ascii="Times New Roman" w:eastAsia="Times New Roman" w:hAnsi="Times New Roman" w:cs="David"/>
        <w:b w:val="0"/>
        <w:bCs/>
      </w:rPr>
    </w:lvl>
    <w:lvl w:ilvl="4" w:tplc="04090019">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1" w15:restartNumberingAfterBreak="0">
    <w:nsid w:val="44B234B0"/>
    <w:multiLevelType w:val="multilevel"/>
    <w:tmpl w:val="83D2720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808"/>
        </w:tabs>
        <w:ind w:left="2808" w:hanging="540"/>
      </w:pPr>
      <w:rPr>
        <w:rFonts w:hint="cs"/>
        <w:b/>
        <w:bCs/>
        <w:iCs w:val="0"/>
      </w:rPr>
    </w:lvl>
    <w:lvl w:ilvl="4">
      <w:start w:val="1"/>
      <w:numFmt w:val="decimal"/>
      <w:lvlText w:val="(%5)"/>
      <w:lvlJc w:val="left"/>
      <w:pPr>
        <w:tabs>
          <w:tab w:val="num" w:pos="3960"/>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0043541"/>
    <w:multiLevelType w:val="hybridMultilevel"/>
    <w:tmpl w:val="5D1435E2"/>
    <w:lvl w:ilvl="0" w:tplc="B3426B5C">
      <w:start w:val="1"/>
      <w:numFmt w:val="bullet"/>
      <w:lvlText w:val=""/>
      <w:lvlJc w:val="left"/>
      <w:pPr>
        <w:tabs>
          <w:tab w:val="num" w:pos="1778"/>
        </w:tabs>
        <w:ind w:left="1778" w:right="1778" w:hanging="360"/>
      </w:pPr>
      <w:rPr>
        <w:rFonts w:ascii="Wingdings" w:hAnsi="Wingdings" w:hint="default"/>
      </w:rPr>
    </w:lvl>
    <w:lvl w:ilvl="1" w:tplc="04090003" w:tentative="1">
      <w:start w:val="1"/>
      <w:numFmt w:val="bullet"/>
      <w:lvlText w:val="o"/>
      <w:lvlJc w:val="left"/>
      <w:pPr>
        <w:tabs>
          <w:tab w:val="num" w:pos="2858"/>
        </w:tabs>
        <w:ind w:left="2858" w:right="2858" w:hanging="360"/>
      </w:pPr>
      <w:rPr>
        <w:rFonts w:ascii="Courier New" w:hAnsi="Courier New" w:cs="Courier New" w:hint="default"/>
      </w:rPr>
    </w:lvl>
    <w:lvl w:ilvl="2" w:tplc="04090005" w:tentative="1">
      <w:start w:val="1"/>
      <w:numFmt w:val="bullet"/>
      <w:lvlText w:val=""/>
      <w:lvlJc w:val="left"/>
      <w:pPr>
        <w:tabs>
          <w:tab w:val="num" w:pos="3578"/>
        </w:tabs>
        <w:ind w:left="3578" w:right="3578" w:hanging="360"/>
      </w:pPr>
      <w:rPr>
        <w:rFonts w:ascii="Wingdings" w:hAnsi="Wingdings" w:hint="default"/>
      </w:rPr>
    </w:lvl>
    <w:lvl w:ilvl="3" w:tplc="04090001" w:tentative="1">
      <w:start w:val="1"/>
      <w:numFmt w:val="bullet"/>
      <w:lvlText w:val=""/>
      <w:lvlJc w:val="left"/>
      <w:pPr>
        <w:tabs>
          <w:tab w:val="num" w:pos="4298"/>
        </w:tabs>
        <w:ind w:left="4298" w:right="4298" w:hanging="360"/>
      </w:pPr>
      <w:rPr>
        <w:rFonts w:ascii="Symbol" w:hAnsi="Symbol" w:hint="default"/>
      </w:rPr>
    </w:lvl>
    <w:lvl w:ilvl="4" w:tplc="04090003" w:tentative="1">
      <w:start w:val="1"/>
      <w:numFmt w:val="bullet"/>
      <w:lvlText w:val="o"/>
      <w:lvlJc w:val="left"/>
      <w:pPr>
        <w:tabs>
          <w:tab w:val="num" w:pos="5018"/>
        </w:tabs>
        <w:ind w:left="5018" w:right="5018" w:hanging="360"/>
      </w:pPr>
      <w:rPr>
        <w:rFonts w:ascii="Courier New" w:hAnsi="Courier New" w:cs="Courier New" w:hint="default"/>
      </w:rPr>
    </w:lvl>
    <w:lvl w:ilvl="5" w:tplc="04090005" w:tentative="1">
      <w:start w:val="1"/>
      <w:numFmt w:val="bullet"/>
      <w:lvlText w:val=""/>
      <w:lvlJc w:val="left"/>
      <w:pPr>
        <w:tabs>
          <w:tab w:val="num" w:pos="5738"/>
        </w:tabs>
        <w:ind w:left="5738" w:right="5738" w:hanging="360"/>
      </w:pPr>
      <w:rPr>
        <w:rFonts w:ascii="Wingdings" w:hAnsi="Wingdings" w:hint="default"/>
      </w:rPr>
    </w:lvl>
    <w:lvl w:ilvl="6" w:tplc="04090001" w:tentative="1">
      <w:start w:val="1"/>
      <w:numFmt w:val="bullet"/>
      <w:lvlText w:val=""/>
      <w:lvlJc w:val="left"/>
      <w:pPr>
        <w:tabs>
          <w:tab w:val="num" w:pos="6458"/>
        </w:tabs>
        <w:ind w:left="6458" w:right="6458" w:hanging="360"/>
      </w:pPr>
      <w:rPr>
        <w:rFonts w:ascii="Symbol" w:hAnsi="Symbol" w:hint="default"/>
      </w:rPr>
    </w:lvl>
    <w:lvl w:ilvl="7" w:tplc="04090003" w:tentative="1">
      <w:start w:val="1"/>
      <w:numFmt w:val="bullet"/>
      <w:lvlText w:val="o"/>
      <w:lvlJc w:val="left"/>
      <w:pPr>
        <w:tabs>
          <w:tab w:val="num" w:pos="7178"/>
        </w:tabs>
        <w:ind w:left="7178" w:right="7178" w:hanging="360"/>
      </w:pPr>
      <w:rPr>
        <w:rFonts w:ascii="Courier New" w:hAnsi="Courier New" w:cs="Courier New" w:hint="default"/>
      </w:rPr>
    </w:lvl>
    <w:lvl w:ilvl="8" w:tplc="04090005" w:tentative="1">
      <w:start w:val="1"/>
      <w:numFmt w:val="bullet"/>
      <w:lvlText w:val=""/>
      <w:lvlJc w:val="left"/>
      <w:pPr>
        <w:tabs>
          <w:tab w:val="num" w:pos="7898"/>
        </w:tabs>
        <w:ind w:left="7898" w:right="7898" w:hanging="360"/>
      </w:pPr>
      <w:rPr>
        <w:rFonts w:ascii="Wingdings" w:hAnsi="Wingdings" w:hint="default"/>
      </w:rPr>
    </w:lvl>
  </w:abstractNum>
  <w:abstractNum w:abstractNumId="26"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5E59C7"/>
    <w:multiLevelType w:val="hybridMultilevel"/>
    <w:tmpl w:val="CF22DB5E"/>
    <w:lvl w:ilvl="0" w:tplc="A688611E">
      <w:start w:val="1"/>
      <w:numFmt w:val="decimal"/>
      <w:lvlText w:val="%1."/>
      <w:lvlJc w:val="left"/>
      <w:pPr>
        <w:tabs>
          <w:tab w:val="num" w:pos="360"/>
        </w:tabs>
        <w:ind w:left="284" w:right="284" w:hanging="284"/>
      </w:pPr>
      <w:rPr>
        <w:rFonts w:hint="default"/>
        <w:lang w:val="en-US"/>
      </w:rPr>
    </w:lvl>
    <w:lvl w:ilvl="1" w:tplc="52BC8B6E">
      <w:start w:val="1"/>
      <w:numFmt w:val="hebrew1"/>
      <w:lvlText w:val="(%2)"/>
      <w:lvlJc w:val="left"/>
      <w:pPr>
        <w:tabs>
          <w:tab w:val="num" w:pos="1695"/>
        </w:tabs>
        <w:ind w:left="1695" w:right="1695" w:hanging="615"/>
      </w:pPr>
      <w:rPr>
        <w:rFonts w:hint="default"/>
        <w:b/>
        <w:bCs/>
      </w:rPr>
    </w:lvl>
    <w:lvl w:ilvl="2" w:tplc="96C8250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9602C02">
      <w:start w:val="1"/>
      <w:numFmt w:val="decimal"/>
      <w:lvlText w:val="(%4)"/>
      <w:lvlJc w:val="left"/>
      <w:pPr>
        <w:tabs>
          <w:tab w:val="num" w:pos="2835"/>
        </w:tabs>
        <w:ind w:left="2835" w:right="2835" w:hanging="567"/>
      </w:pPr>
      <w:rPr>
        <w:rFonts w:hint="cs"/>
      </w:rPr>
    </w:lvl>
    <w:lvl w:ilvl="4" w:tplc="9A148EB2">
      <w:start w:val="1"/>
      <w:numFmt w:val="hebrew1"/>
      <w:lvlText w:val="(%5)"/>
      <w:lvlJc w:val="left"/>
      <w:pPr>
        <w:tabs>
          <w:tab w:val="num" w:pos="2835"/>
        </w:tabs>
        <w:ind w:left="2835" w:right="2835" w:hanging="567"/>
      </w:pPr>
      <w:rPr>
        <w:rFonts w:hint="cs"/>
      </w:rPr>
    </w:lvl>
    <w:lvl w:ilvl="5" w:tplc="E38643FA">
      <w:start w:val="1"/>
      <w:numFmt w:val="lowerRoman"/>
      <w:lvlText w:val="%6."/>
      <w:lvlJc w:val="right"/>
      <w:pPr>
        <w:tabs>
          <w:tab w:val="num" w:pos="4320"/>
        </w:tabs>
        <w:ind w:left="4320" w:right="4320" w:hanging="180"/>
      </w:pPr>
    </w:lvl>
    <w:lvl w:ilvl="6" w:tplc="57003378">
      <w:start w:val="1"/>
      <w:numFmt w:val="hebrew1"/>
      <w:lvlText w:val="%7."/>
      <w:lvlJc w:val="left"/>
      <w:pPr>
        <w:tabs>
          <w:tab w:val="num" w:pos="5250"/>
        </w:tabs>
        <w:ind w:left="5250" w:right="5250" w:hanging="570"/>
      </w:pPr>
      <w:rPr>
        <w:rFonts w:hint="cs"/>
      </w:rPr>
    </w:lvl>
    <w:lvl w:ilvl="7" w:tplc="FEF22B74">
      <w:start w:val="1"/>
      <w:numFmt w:val="decimal"/>
      <w:lvlText w:val="%8."/>
      <w:lvlJc w:val="left"/>
      <w:pPr>
        <w:tabs>
          <w:tab w:val="num" w:pos="5760"/>
        </w:tabs>
        <w:ind w:left="5760" w:right="5760" w:hanging="360"/>
      </w:pPr>
    </w:lvl>
    <w:lvl w:ilvl="8" w:tplc="6122D124" w:tentative="1">
      <w:start w:val="1"/>
      <w:numFmt w:val="lowerRoman"/>
      <w:lvlText w:val="%9."/>
      <w:lvlJc w:val="right"/>
      <w:pPr>
        <w:tabs>
          <w:tab w:val="num" w:pos="6480"/>
        </w:tabs>
        <w:ind w:left="6480" w:right="6480" w:hanging="180"/>
      </w:pPr>
    </w:lvl>
  </w:abstractNum>
  <w:abstractNum w:abstractNumId="2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026314D"/>
    <w:multiLevelType w:val="hybridMultilevel"/>
    <w:tmpl w:val="8D50BE10"/>
    <w:lvl w:ilvl="0" w:tplc="0158D670">
      <w:start w:val="1"/>
      <w:numFmt w:val="decimal"/>
      <w:lvlText w:val="%1."/>
      <w:lvlJc w:val="left"/>
      <w:pPr>
        <w:tabs>
          <w:tab w:val="num" w:pos="360"/>
        </w:tabs>
        <w:ind w:left="284" w:right="284" w:hanging="284"/>
      </w:pPr>
      <w:rPr>
        <w:rFonts w:hint="default"/>
      </w:rPr>
    </w:lvl>
    <w:lvl w:ilvl="1" w:tplc="2110D1A8">
      <w:start w:val="1"/>
      <w:numFmt w:val="decimal"/>
      <w:pStyle w:val="22"/>
      <w:lvlText w:val="(%2)"/>
      <w:lvlJc w:val="left"/>
      <w:pPr>
        <w:tabs>
          <w:tab w:val="num" w:pos="2835"/>
        </w:tabs>
        <w:ind w:left="2835" w:right="2835" w:hanging="567"/>
      </w:pPr>
      <w:rPr>
        <w:rFonts w:hint="cs"/>
      </w:rPr>
    </w:lvl>
    <w:lvl w:ilvl="2" w:tplc="C1CEB0A4" w:tentative="1">
      <w:start w:val="1"/>
      <w:numFmt w:val="lowerRoman"/>
      <w:lvlText w:val="%3."/>
      <w:lvlJc w:val="right"/>
      <w:pPr>
        <w:tabs>
          <w:tab w:val="num" w:pos="2160"/>
        </w:tabs>
        <w:ind w:left="2160" w:right="2160" w:hanging="180"/>
      </w:pPr>
    </w:lvl>
    <w:lvl w:ilvl="3" w:tplc="38B2792C" w:tentative="1">
      <w:start w:val="1"/>
      <w:numFmt w:val="decimal"/>
      <w:lvlText w:val="%4."/>
      <w:lvlJc w:val="left"/>
      <w:pPr>
        <w:tabs>
          <w:tab w:val="num" w:pos="2880"/>
        </w:tabs>
        <w:ind w:left="2880" w:right="2880" w:hanging="360"/>
      </w:pPr>
    </w:lvl>
    <w:lvl w:ilvl="4" w:tplc="047450A6" w:tentative="1">
      <w:start w:val="1"/>
      <w:numFmt w:val="lowerLetter"/>
      <w:lvlText w:val="%5."/>
      <w:lvlJc w:val="left"/>
      <w:pPr>
        <w:tabs>
          <w:tab w:val="num" w:pos="3600"/>
        </w:tabs>
        <w:ind w:left="3600" w:right="3600" w:hanging="360"/>
      </w:pPr>
    </w:lvl>
    <w:lvl w:ilvl="5" w:tplc="89D6716C" w:tentative="1">
      <w:start w:val="1"/>
      <w:numFmt w:val="lowerRoman"/>
      <w:lvlText w:val="%6."/>
      <w:lvlJc w:val="right"/>
      <w:pPr>
        <w:tabs>
          <w:tab w:val="num" w:pos="4320"/>
        </w:tabs>
        <w:ind w:left="4320" w:right="4320" w:hanging="180"/>
      </w:pPr>
    </w:lvl>
    <w:lvl w:ilvl="6" w:tplc="C4A0D162" w:tentative="1">
      <w:start w:val="1"/>
      <w:numFmt w:val="decimal"/>
      <w:lvlText w:val="%7."/>
      <w:lvlJc w:val="left"/>
      <w:pPr>
        <w:tabs>
          <w:tab w:val="num" w:pos="5040"/>
        </w:tabs>
        <w:ind w:left="5040" w:right="5040" w:hanging="360"/>
      </w:pPr>
    </w:lvl>
    <w:lvl w:ilvl="7" w:tplc="45AC2438" w:tentative="1">
      <w:start w:val="1"/>
      <w:numFmt w:val="lowerLetter"/>
      <w:lvlText w:val="%8."/>
      <w:lvlJc w:val="left"/>
      <w:pPr>
        <w:tabs>
          <w:tab w:val="num" w:pos="5760"/>
        </w:tabs>
        <w:ind w:left="5760" w:right="5760" w:hanging="360"/>
      </w:pPr>
    </w:lvl>
    <w:lvl w:ilvl="8" w:tplc="C9CC39B0" w:tentative="1">
      <w:start w:val="1"/>
      <w:numFmt w:val="lowerRoman"/>
      <w:lvlText w:val="%9."/>
      <w:lvlJc w:val="right"/>
      <w:pPr>
        <w:tabs>
          <w:tab w:val="num" w:pos="6480"/>
        </w:tabs>
        <w:ind w:left="6480" w:right="6480" w:hanging="180"/>
      </w:pPr>
    </w:lvl>
  </w:abstractNum>
  <w:abstractNum w:abstractNumId="30"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1"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5E686B"/>
    <w:multiLevelType w:val="hybridMultilevel"/>
    <w:tmpl w:val="ECC4A72C"/>
    <w:lvl w:ilvl="0" w:tplc="C666E6B8">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3" w15:restartNumberingAfterBreak="0">
    <w:nsid w:val="7CA3587B"/>
    <w:multiLevelType w:val="hybridMultilevel"/>
    <w:tmpl w:val="3A705E5E"/>
    <w:lvl w:ilvl="0" w:tplc="0B30A5F4">
      <w:start w:val="1"/>
      <w:numFmt w:val="hebrew1"/>
      <w:lvlText w:val="%1."/>
      <w:lvlJc w:val="left"/>
      <w:pPr>
        <w:tabs>
          <w:tab w:val="num" w:pos="2160"/>
        </w:tabs>
        <w:ind w:left="2160" w:right="2160" w:hanging="720"/>
      </w:pPr>
      <w:rPr>
        <w:rFonts w:hint="cs"/>
      </w:rPr>
    </w:lvl>
    <w:lvl w:ilvl="1" w:tplc="2C26FE00">
      <w:start w:val="1"/>
      <w:numFmt w:val="decimal"/>
      <w:lvlText w:val="(%2)"/>
      <w:lvlJc w:val="left"/>
      <w:pPr>
        <w:tabs>
          <w:tab w:val="num" w:pos="975"/>
        </w:tabs>
        <w:ind w:left="975" w:right="975" w:hanging="615"/>
      </w:pPr>
      <w:rPr>
        <w:rFonts w:hint="cs"/>
      </w:rPr>
    </w:lvl>
    <w:lvl w:ilvl="2" w:tplc="F496A74C" w:tentative="1">
      <w:start w:val="1"/>
      <w:numFmt w:val="lowerRoman"/>
      <w:lvlText w:val="%3."/>
      <w:lvlJc w:val="right"/>
      <w:pPr>
        <w:tabs>
          <w:tab w:val="num" w:pos="1440"/>
        </w:tabs>
        <w:ind w:left="1440" w:right="1440" w:hanging="180"/>
      </w:pPr>
    </w:lvl>
    <w:lvl w:ilvl="3" w:tplc="976C82C6" w:tentative="1">
      <w:start w:val="1"/>
      <w:numFmt w:val="decimal"/>
      <w:lvlText w:val="%4."/>
      <w:lvlJc w:val="left"/>
      <w:pPr>
        <w:tabs>
          <w:tab w:val="num" w:pos="2160"/>
        </w:tabs>
        <w:ind w:left="2160" w:right="2160" w:hanging="360"/>
      </w:pPr>
    </w:lvl>
    <w:lvl w:ilvl="4" w:tplc="69320A32" w:tentative="1">
      <w:start w:val="1"/>
      <w:numFmt w:val="lowerLetter"/>
      <w:lvlText w:val="%5."/>
      <w:lvlJc w:val="left"/>
      <w:pPr>
        <w:tabs>
          <w:tab w:val="num" w:pos="2880"/>
        </w:tabs>
        <w:ind w:left="2880" w:right="2880" w:hanging="360"/>
      </w:pPr>
    </w:lvl>
    <w:lvl w:ilvl="5" w:tplc="84C871FC" w:tentative="1">
      <w:start w:val="1"/>
      <w:numFmt w:val="lowerRoman"/>
      <w:lvlText w:val="%6."/>
      <w:lvlJc w:val="right"/>
      <w:pPr>
        <w:tabs>
          <w:tab w:val="num" w:pos="3600"/>
        </w:tabs>
        <w:ind w:left="3600" w:right="3600" w:hanging="180"/>
      </w:pPr>
    </w:lvl>
    <w:lvl w:ilvl="6" w:tplc="4086E07E" w:tentative="1">
      <w:start w:val="1"/>
      <w:numFmt w:val="decimal"/>
      <w:lvlText w:val="%7."/>
      <w:lvlJc w:val="left"/>
      <w:pPr>
        <w:tabs>
          <w:tab w:val="num" w:pos="4320"/>
        </w:tabs>
        <w:ind w:left="4320" w:right="4320" w:hanging="360"/>
      </w:pPr>
    </w:lvl>
    <w:lvl w:ilvl="7" w:tplc="FEFE0390" w:tentative="1">
      <w:start w:val="1"/>
      <w:numFmt w:val="lowerLetter"/>
      <w:lvlText w:val="%8."/>
      <w:lvlJc w:val="left"/>
      <w:pPr>
        <w:tabs>
          <w:tab w:val="num" w:pos="5040"/>
        </w:tabs>
        <w:ind w:left="5040" w:right="5040" w:hanging="360"/>
      </w:pPr>
    </w:lvl>
    <w:lvl w:ilvl="8" w:tplc="2214D268" w:tentative="1">
      <w:start w:val="1"/>
      <w:numFmt w:val="lowerRoman"/>
      <w:lvlText w:val="%9."/>
      <w:lvlJc w:val="right"/>
      <w:pPr>
        <w:tabs>
          <w:tab w:val="num" w:pos="5760"/>
        </w:tabs>
        <w:ind w:left="5760" w:right="5760" w:hanging="180"/>
      </w:pPr>
    </w:lvl>
  </w:abstractNum>
  <w:num w:numId="1">
    <w:abstractNumId w:val="29"/>
  </w:num>
  <w:num w:numId="2">
    <w:abstractNumId w:val="27"/>
  </w:num>
  <w:num w:numId="3">
    <w:abstractNumId w:val="33"/>
  </w:num>
  <w:num w:numId="4">
    <w:abstractNumId w:val="30"/>
  </w:num>
  <w:num w:numId="5">
    <w:abstractNumId w:val="13"/>
  </w:num>
  <w:num w:numId="6">
    <w:abstractNumId w:val="0"/>
  </w:num>
  <w:num w:numId="7">
    <w:abstractNumId w:val="8"/>
  </w:num>
  <w:num w:numId="8">
    <w:abstractNumId w:val="4"/>
  </w:num>
  <w:num w:numId="9">
    <w:abstractNumId w:val="11"/>
  </w:num>
  <w:num w:numId="10">
    <w:abstractNumId w:val="28"/>
  </w:num>
  <w:num w:numId="11">
    <w:abstractNumId w:val="6"/>
  </w:num>
  <w:num w:numId="12">
    <w:abstractNumId w:val="16"/>
  </w:num>
  <w:num w:numId="13">
    <w:abstractNumId w:val="17"/>
  </w:num>
  <w:num w:numId="14">
    <w:abstractNumId w:val="19"/>
  </w:num>
  <w:num w:numId="15">
    <w:abstractNumId w:val="14"/>
  </w:num>
  <w:num w:numId="16">
    <w:abstractNumId w:val="10"/>
  </w:num>
  <w:num w:numId="17">
    <w:abstractNumId w:val="2"/>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2"/>
    </w:lvlOverride>
    <w:lvlOverride w:ilvl="1">
      <w:startOverride w:val="9"/>
    </w:lvlOverride>
    <w:lvlOverride w:ilvl="2">
      <w:startOverride w:val="1"/>
    </w:lvlOverride>
    <w:lvlOverride w:ilvl="3">
      <w:startOverride w:val="1"/>
    </w:lvlOverride>
  </w:num>
  <w:num w:numId="20">
    <w:abstractNumId w:val="1"/>
  </w:num>
  <w:num w:numId="21">
    <w:abstractNumId w:val="25"/>
  </w:num>
  <w:num w:numId="22">
    <w:abstractNumId w:val="3"/>
  </w:num>
  <w:num w:numId="23">
    <w:abstractNumId w:val="21"/>
  </w:num>
  <w:num w:numId="24">
    <w:abstractNumId w:val="9"/>
  </w:num>
  <w:num w:numId="25">
    <w:abstractNumId w:val="22"/>
  </w:num>
  <w:num w:numId="26">
    <w:abstractNumId w:val="24"/>
  </w:num>
  <w:num w:numId="27">
    <w:abstractNumId w:val="18"/>
  </w:num>
  <w:num w:numId="28">
    <w:abstractNumId w:val="7"/>
  </w:num>
  <w:num w:numId="29">
    <w:abstractNumId w:val="5"/>
  </w:num>
  <w:num w:numId="30">
    <w:abstractNumId w:val="23"/>
  </w:num>
  <w:num w:numId="31">
    <w:abstractNumId w:val="31"/>
  </w:num>
  <w:num w:numId="32">
    <w:abstractNumId w:val="12"/>
  </w:num>
  <w:num w:numId="33">
    <w:abstractNumId w:val="26"/>
  </w:num>
  <w:num w:numId="34">
    <w:abstractNumId w:val="15"/>
  </w:num>
  <w:num w:numId="35">
    <w:abstractNumId w:val="20"/>
  </w:num>
  <w:num w:numId="36">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5:chartTrackingRefBased/>
  <w15:docId w15:val="{5F6F48AD-C003-4815-A433-EDEEA1840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6"/>
      </w:numPr>
      <w:ind w:right="0"/>
    </w:pPr>
  </w:style>
  <w:style w:type="character" w:styleId="af7">
    <w:name w:val="annotation reference"/>
    <w:aliases w:val="Comment Reference"/>
    <w:uiPriority w:val="99"/>
    <w:semiHidden/>
    <w:rPr>
      <w:sz w:val="16"/>
      <w:szCs w:val="16"/>
    </w:rPr>
  </w:style>
  <w:style w:type="paragraph" w:styleId="af8">
    <w:name w:val="annotation text"/>
    <w:aliases w:val="Comment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0"/>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0"/>
      </w:numPr>
      <w:overflowPunct/>
      <w:autoSpaceDE/>
      <w:autoSpaceDN/>
      <w:adjustRightInd/>
      <w:textAlignment w:val="auto"/>
    </w:pPr>
    <w:rPr>
      <w:rFonts w:cs="Arial"/>
      <w:sz w:val="22"/>
      <w:szCs w:val="22"/>
      <w:lang w:eastAsia="en-US"/>
    </w:rPr>
  </w:style>
  <w:style w:type="paragraph" w:customStyle="1" w:styleId="10">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rPr>
  </w:style>
  <w:style w:type="paragraph" w:customStyle="1" w:styleId="211111">
    <w:name w:val="תת סעיף2 1.1.1.1.1"/>
    <w:basedOn w:val="10"/>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FooterText,numbered,Paragraphe de liste1,פיסקת רשימה11,מכרזים - טקסט סעיפים,נספח 2 מתוקן,x.x.x.x"/>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0">
    <w:name w:val="כותרת 3 תו"/>
    <w:link w:val="3"/>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3">
    <w:name w:val="1"/>
    <w:basedOn w:val="a5"/>
    <w:next w:val="NormalWeb"/>
    <w:rPr>
      <w:rFonts w:cs="Times New Roman"/>
    </w:rPr>
  </w:style>
  <w:style w:type="table" w:styleId="aff9">
    <w:name w:val="Table Grid"/>
    <w:aliases w:val="טקסט טבלה תחתונה,coloured"/>
    <w:basedOn w:val="a7"/>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uiPriority w:val="99"/>
    <w:semiHidden/>
    <w:rPr>
      <w:rFonts w:cs="David"/>
      <w:lang w:eastAsia="he-IL"/>
    </w:rPr>
  </w:style>
  <w:style w:type="character" w:customStyle="1" w:styleId="14">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5">
    <w:name w:val="ללא רשימה1"/>
    <w:next w:val="a8"/>
    <w:uiPriority w:val="99"/>
    <w:semiHidden/>
    <w:unhideWhenUsed/>
  </w:style>
  <w:style w:type="character" w:customStyle="1" w:styleId="12">
    <w:name w:val="כותרת 1 תו"/>
    <w:link w:val="11"/>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1"/>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6">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3">
    <w:name w:val="כניסה בגוף טקסט 3 תו"/>
    <w:aliases w:val="Body Text Indent 3 תו"/>
    <w:link w:val="32"/>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
    <w:name w:val="כותרת רמה 1"/>
    <w:basedOn w:val="a5"/>
    <w:link w:val="17"/>
    <w:qFormat/>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Pr>
      <w:rFonts w:ascii="Arial" w:hAnsi="Arial" w:cs="Arial"/>
      <w:b/>
      <w:bCs/>
      <w:color w:val="003399"/>
      <w:kern w:val="32"/>
      <w:sz w:val="22"/>
      <w:szCs w:val="22"/>
      <w:shd w:val="clear" w:color="auto" w:fill="F2F2F2"/>
    </w:rPr>
  </w:style>
  <w:style w:type="paragraph" w:customStyle="1" w:styleId="24">
    <w:name w:val="סעיף רמה 2"/>
    <w:basedOn w:val="a5"/>
    <w:link w:val="25"/>
    <w:qFormat/>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Pr>
      <w:rFonts w:ascii="Arial" w:hAnsi="Arial" w:cs="Arial"/>
      <w:sz w:val="22"/>
      <w:szCs w:val="22"/>
    </w:rPr>
  </w:style>
  <w:style w:type="paragraph" w:customStyle="1" w:styleId="34">
    <w:name w:val="סעיף רמה 3"/>
    <w:basedOn w:val="24"/>
    <w:link w:val="35"/>
    <w:qFormat/>
    <w:pPr>
      <w:tabs>
        <w:tab w:val="left" w:pos="1304"/>
      </w:tabs>
      <w:ind w:left="1304" w:hanging="737"/>
    </w:pPr>
  </w:style>
  <w:style w:type="character" w:customStyle="1" w:styleId="35">
    <w:name w:val="סעיף רמה 3 תו"/>
    <w:link w:val="34"/>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4"/>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styleId="afff2">
    <w:name w:val="Unresolved Mention"/>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20">
    <w:name w:val="כותרת 2 תו"/>
    <w:aliases w:val="Heading 2 תו"/>
    <w:link w:val="2"/>
    <w:uiPriority w:val="9"/>
    <w:rPr>
      <w:rFonts w:ascii="Arial" w:hAnsi="Arial" w:cs="David"/>
      <w:b/>
      <w:bCs/>
      <w:i/>
      <w:sz w:val="24"/>
      <w:szCs w:val="24"/>
      <w:u w:val="single"/>
      <w:lang w:eastAsia="he-IL"/>
    </w:rPr>
  </w:style>
  <w:style w:type="character" w:customStyle="1" w:styleId="aff3">
    <w:name w:val="פיסקת רשימה תו"/>
    <w:aliases w:val="פיסקת bullets תו,LP1 תו,lp1 תו,FooterText תו,numbered תו,Paragraphe de liste1 תו,פיסקת רשימה11 תו,מכרזים - טקסט סעיפים תו,נספח 2 מתוקן תו,x.x.x.x תו"/>
    <w:basedOn w:val="a6"/>
    <w:link w:val="aff2"/>
    <w:uiPriority w:val="34"/>
    <w:locked/>
    <w:rPr>
      <w:rFonts w:cs="David"/>
      <w:sz w:val="24"/>
      <w:szCs w:val="24"/>
      <w:lang w:eastAsia="he-IL"/>
    </w:r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6">
    <w:name w:val="סעיף 2"/>
    <w:basedOn w:val="aff2"/>
    <w:link w:val="27"/>
    <w:qFormat/>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7">
    <w:name w:val="סעיף 2 תו"/>
    <w:basedOn w:val="a6"/>
    <w:link w:val="26"/>
    <w:rPr>
      <w:rFonts w:ascii="David" w:eastAsiaTheme="minorHAnsi" w:hAnsi="David" w:cs="David"/>
      <w:sz w:val="24"/>
      <w:szCs w:val="24"/>
    </w:rPr>
  </w:style>
  <w:style w:type="paragraph" w:customStyle="1" w:styleId="36">
    <w:name w:val="סעיף 3"/>
    <w:basedOn w:val="26"/>
    <w:link w:val="3Char"/>
    <w:qFormat/>
    <w:pPr>
      <w:ind w:left="1275" w:hanging="567"/>
    </w:pPr>
  </w:style>
  <w:style w:type="character" w:customStyle="1" w:styleId="3Char">
    <w:name w:val="סעיף 3 Char"/>
    <w:basedOn w:val="27"/>
    <w:link w:val="36"/>
    <w:rPr>
      <w:rFonts w:ascii="David" w:eastAsiaTheme="minorHAnsi" w:hAnsi="David" w:cs="David"/>
      <w:sz w:val="24"/>
      <w:szCs w:val="24"/>
    </w:rPr>
  </w:style>
  <w:style w:type="character" w:customStyle="1" w:styleId="af2">
    <w:name w:val="גוף טקסט תו"/>
    <w:basedOn w:val="a6"/>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8"/>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8"/>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Pr>
      <w:rFonts w:ascii="David" w:hAnsi="David" w:cs="David"/>
      <w:b/>
      <w:bCs/>
      <w:sz w:val="24"/>
      <w:szCs w:val="24"/>
      <w:lang w:eastAsia="he-IL"/>
    </w:rPr>
  </w:style>
  <w:style w:type="paragraph" w:customStyle="1" w:styleId="4-">
    <w:name w:val="4 - סעיף"/>
    <w:basedOn w:val="a5"/>
    <w:link w:val="4-Char"/>
    <w:qFormat/>
    <w:pPr>
      <w:numPr>
        <w:ilvl w:val="3"/>
        <w:numId w:val="28"/>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8"/>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6"/>
    <w:link w:val="4Char"/>
    <w:qFormat/>
    <w:pPr>
      <w:ind w:left="1984" w:hanging="850"/>
    </w:pPr>
  </w:style>
  <w:style w:type="character" w:customStyle="1" w:styleId="4Char">
    <w:name w:val="סעיף 4 Char"/>
    <w:basedOn w:val="3Char"/>
    <w:link w:val="4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mof.gov.il/takam/Pages/horaot.aspx?k=7.3.9.4" TargetMode="External"/><Relationship Id="rId21" Type="http://schemas.openxmlformats.org/officeDocument/2006/relationships/hyperlink" Target="http://www.mof.gov.il/takam/Pages/horaot.aspx?k=1.5.0.4"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www.mof.gov.il/takam/Pages/horaot.aspx?k=1.6.0.1" TargetMode="External"/><Relationship Id="rId63" Type="http://schemas.openxmlformats.org/officeDocument/2006/relationships/hyperlink" Target="mailto:takam@mof.gov.il" TargetMode="External"/><Relationship Id="rId68" Type="http://schemas.openxmlformats.org/officeDocument/2006/relationships/hyperlink" Target="https://edu.gov.il/sites/sapak/tech-standard/Pages/security-standard.aspx" TargetMode="Externa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govextra.gov.il/digital-guarantee/homepage/" TargetMode="External"/><Relationship Id="rId24" Type="http://schemas.openxmlformats.org/officeDocument/2006/relationships/hyperlink" Target="https://takam.mof.gov.il/mail-registration" TargetMode="External"/><Relationship Id="rId32" Type="http://schemas.openxmlformats.org/officeDocument/2006/relationships/hyperlink" Target="mailto:takam@mof.gov.il"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www.mof.gov.il/takam/Pages/horaot.aspx?k=1.4.0.6" TargetMode="External"/><Relationship Id="rId53" Type="http://schemas.openxmlformats.org/officeDocument/2006/relationships/hyperlink" Target="https://takam.mof.gov.il/mail-registration"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takam.mof.gov.il/document/H.14.1.1" TargetMode="External"/><Relationship Id="rId5" Type="http://schemas.openxmlformats.org/officeDocument/2006/relationships/webSettings" Target="webSettings.xml"/><Relationship Id="rId61" Type="http://schemas.openxmlformats.org/officeDocument/2006/relationships/hyperlink" Target="https://takam.mof.gov.il/" TargetMode="External"/><Relationship Id="rId19" Type="http://schemas.openxmlformats.org/officeDocument/2006/relationships/hyperlink" Target="http://www.mof.gov.il/takam/Pages/horaot.aspx?k=1.6.0.1" TargetMode="External"/><Relationship Id="rId14" Type="http://schemas.openxmlformats.org/officeDocument/2006/relationships/hyperlink" Target="http://www.foi.gov.il" TargetMode="External"/><Relationship Id="rId22" Type="http://schemas.openxmlformats.org/officeDocument/2006/relationships/hyperlink" Target="https://fs.knesset.gov.il/1/law/1_lsr_210296.PDF"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s://takam.mof.gov.il/" TargetMode="External"/><Relationship Id="rId35" Type="http://schemas.openxmlformats.org/officeDocument/2006/relationships/hyperlink" Target="https://takam.mof.gov.il/mail-registration"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www.mof.gov.il/takam/Pages/horaot.aspx?k=1.6.0.7" TargetMode="External"/><Relationship Id="rId56" Type="http://schemas.openxmlformats.org/officeDocument/2006/relationships/hyperlink" Target="https://www.nevo.co.il/law_html/Law01/271_019.htm" TargetMode="External"/><Relationship Id="rId64" Type="http://schemas.openxmlformats.org/officeDocument/2006/relationships/hyperlink" Target="https://govextra.gov.il/digital-guarantee/homepage/" TargetMode="External"/><Relationship Id="rId69" Type="http://schemas.openxmlformats.org/officeDocument/2006/relationships/header" Target="header1.xml"/><Relationship Id="rId8" Type="http://schemas.openxmlformats.org/officeDocument/2006/relationships/hyperlink" Target="HTTP://WWW.MR.GOV.IL" TargetMode="External"/><Relationship Id="rId51" Type="http://schemas.openxmlformats.org/officeDocument/2006/relationships/hyperlink" Target="https://mof.gov.il/takam/pages/horaot.aspx?k=7.3.9.4"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takam.mof.gov.il/document/H.7.10.4" TargetMode="External"/><Relationship Id="rId17" Type="http://schemas.openxmlformats.org/officeDocument/2006/relationships/hyperlink" Target="https://www.nevo.co.il/law_word/law06/tak-9184.pdf" TargetMode="External"/><Relationship Id="rId25" Type="http://schemas.openxmlformats.org/officeDocument/2006/relationships/hyperlink" Target="mailto:takam@mof.gov.il" TargetMode="External"/><Relationship Id="rId33" Type="http://schemas.openxmlformats.org/officeDocument/2006/relationships/hyperlink" Target="http://www.mof.gov.il/takam/Pages/horaot.aspx?k=1.4.0.6"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www.mof.gov.il/takam/Pages/horaot.aspx?k=1.5.0.4" TargetMode="External"/><Relationship Id="rId59" Type="http://schemas.openxmlformats.org/officeDocument/2006/relationships/hyperlink" Target="https://www.nevo.co.il/law_html/Law01/159m1_001.htm"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word/law06/tak-9184.pdf" TargetMode="External"/><Relationship Id="rId54" Type="http://schemas.openxmlformats.org/officeDocument/2006/relationships/hyperlink" Target="mailto:takam@mof.gov.il" TargetMode="External"/><Relationship Id="rId62" Type="http://schemas.openxmlformats.org/officeDocument/2006/relationships/hyperlink" Target="https://takam.mof.gov.il/mail-registration" TargetMode="External"/><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oi.gov.il" TargetMode="External"/><Relationship Id="rId23" Type="http://schemas.openxmlformats.org/officeDocument/2006/relationships/hyperlink" Target="https://takam.mof.gov.il/" TargetMode="External"/><Relationship Id="rId28" Type="http://schemas.openxmlformats.org/officeDocument/2006/relationships/hyperlink" Target="https://www.nevo.co.il/law_html/Law01/501_589.htm" TargetMode="External"/><Relationship Id="rId36" Type="http://schemas.openxmlformats.org/officeDocument/2006/relationships/hyperlink" Target="mailto:takam@mof.gov.il" TargetMode="External"/><Relationship Id="rId49" Type="http://schemas.openxmlformats.org/officeDocument/2006/relationships/hyperlink" Target="https://mof.gov.il/takam/pages/horaot.aspx?k=3.3.0.6" TargetMode="External"/><Relationship Id="rId57" Type="http://schemas.openxmlformats.org/officeDocument/2006/relationships/hyperlink" Target="http://www.mof.gov.il/takam/Pages/horaot.aspx?k=1.4.0.2" TargetMode="External"/><Relationship Id="rId10" Type="http://schemas.openxmlformats.org/officeDocument/2006/relationships/hyperlink" Target="HTTP://WWW.MR.GOV.IL" TargetMode="External"/><Relationship Id="rId31" Type="http://schemas.openxmlformats.org/officeDocument/2006/relationships/hyperlink" Target="https://takam.mof.gov.il/mail-registration"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s://takam.mof.gov.il/" TargetMode="External"/><Relationship Id="rId60" Type="http://schemas.openxmlformats.org/officeDocument/2006/relationships/hyperlink" Target="https://fs.knesset.gov.il/20/law/20_lsr_382398.pdf" TargetMode="External"/><Relationship Id="rId65" Type="http://schemas.openxmlformats.org/officeDocument/2006/relationships/hyperlink" Target="https://takam.mof.gov.il/document/H.7.3.3"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R.GOV.IL" TargetMode="External"/><Relationship Id="rId13" Type="http://schemas.openxmlformats.org/officeDocument/2006/relationships/hyperlink" Target="https://www.gov.il/he/departments/policies/2004_des2575" TargetMode="External"/><Relationship Id="rId18" Type="http://schemas.openxmlformats.org/officeDocument/2006/relationships/hyperlink" Target="http://www.mof.gov.il/takam/Pages/horaot.aspx?k=1.6.0.7" TargetMode="External"/><Relationship Id="rId39" Type="http://schemas.openxmlformats.org/officeDocument/2006/relationships/hyperlink" Target="https://fs.knesset.gov.il/20/law/20_lsr_382398.pdf" TargetMode="External"/><Relationship Id="rId34" Type="http://schemas.openxmlformats.org/officeDocument/2006/relationships/hyperlink" Target="https://takam.mof.gov.il/" TargetMode="External"/><Relationship Id="rId50" Type="http://schemas.openxmlformats.org/officeDocument/2006/relationships/hyperlink" Target="http://www.mof.gov.il/takam/Pages/horaot.aspx?k=6.1.0.1" TargetMode="External"/><Relationship Id="rId55" Type="http://schemas.openxmlformats.org/officeDocument/2006/relationships/hyperlink" Target="https://fs.knesset.gov.il/8/law/8_lsr_208901.PDF" TargetMode="External"/><Relationship Id="rId7" Type="http://schemas.openxmlformats.org/officeDocument/2006/relationships/endnotes" Target="endnotes.xml"/><Relationship Id="rId71"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5B0B17-E89B-42EA-87B7-3F9C15CAD6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2071</TotalTime>
  <Pages>85</Pages>
  <Words>23769</Words>
  <Characters>118850</Characters>
  <Application>Microsoft Office Word</Application>
  <DocSecurity>0</DocSecurity>
  <Lines>990</Lines>
  <Paragraphs>284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142335</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Eva Bublil</cp:lastModifiedBy>
  <cp:revision>38</cp:revision>
  <cp:lastPrinted>2021-11-01T12:43:00Z</cp:lastPrinted>
  <dcterms:created xsi:type="dcterms:W3CDTF">2023-12-05T13:01:00Z</dcterms:created>
  <dcterms:modified xsi:type="dcterms:W3CDTF">2025-04-21T10:33:00Z</dcterms:modified>
</cp:coreProperties>
</file>